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中宋" w:hAnsi="华文中宋" w:eastAsia="华文中宋"/>
          <w:spacing w:val="-4"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北京市思想政治工作研究会基层立项课题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经费管理办法</w:t>
      </w:r>
    </w:p>
    <w:p>
      <w:pPr>
        <w:spacing w:line="360" w:lineRule="auto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 总  则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第一条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为加强和规范基层立项课题经费的管理和使用，参照北京市财政局、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北京市社科联、市</w:t>
      </w:r>
      <w:r>
        <w:rPr>
          <w:rFonts w:hint="eastAsia" w:ascii="仿宋" w:hAnsi="仿宋" w:eastAsia="仿宋"/>
          <w:color w:val="auto"/>
          <w:sz w:val="32"/>
          <w:szCs w:val="32"/>
        </w:rPr>
        <w:t>社科规划办和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北京市思想政治工作研究会（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下简称市政研会）关于课题研究经费的</w:t>
      </w:r>
      <w:r>
        <w:rPr>
          <w:rFonts w:hint="eastAsia" w:ascii="仿宋" w:hAnsi="仿宋" w:eastAsia="仿宋"/>
          <w:color w:val="auto"/>
          <w:sz w:val="32"/>
          <w:szCs w:val="32"/>
        </w:rPr>
        <w:t>有关规定，制定本办法。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第二条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课题经费来源于市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级</w:t>
      </w:r>
      <w:r>
        <w:rPr>
          <w:rFonts w:hint="eastAsia" w:ascii="仿宋" w:hAnsi="仿宋" w:eastAsia="仿宋"/>
          <w:color w:val="auto"/>
          <w:sz w:val="32"/>
          <w:szCs w:val="32"/>
        </w:rPr>
        <w:t>财政拨款，用于资助全市基层单位开展思想政治工作立项课题研究，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立项单位</w:t>
      </w:r>
      <w:r>
        <w:rPr>
          <w:rFonts w:hint="eastAsia" w:ascii="仿宋" w:hAnsi="仿宋" w:eastAsia="仿宋"/>
          <w:color w:val="auto"/>
          <w:sz w:val="32"/>
          <w:szCs w:val="32"/>
        </w:rPr>
        <w:t>须严格按照财政相关管理规定使用。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第三条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基层立项课题分为重点课题和一般课题，给予不同金额的资助经费。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第四条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课题立项单位是课题经费管理的责任主体，负责课题经费的日常管理和监督。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第五条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课题负责人是课题经费使用的直接责任人，对经费使用的合规性、合理性、真实性和相关性承担法律责任。</w:t>
      </w:r>
    </w:p>
    <w:p>
      <w:pPr>
        <w:spacing w:line="360" w:lineRule="auto"/>
        <w:jc w:val="center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第二章  预  算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auto"/>
          <w:sz w:val="32"/>
          <w:szCs w:val="32"/>
        </w:rPr>
        <w:t>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北京市思想政治工作研究会基层思想政治工作研究所（下称市政研会研究所）提出年度项目经费预算方案，由财务部门审核，市政研会领导班子研究决定后上报，市财政局批准后执行。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color w:val="auto"/>
          <w:sz w:val="32"/>
          <w:szCs w:val="32"/>
        </w:rPr>
        <w:t xml:space="preserve">条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课题申请人在申报课题时，根据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当年</w:t>
      </w:r>
      <w:r>
        <w:rPr>
          <w:rFonts w:hint="eastAsia" w:ascii="仿宋" w:hAnsi="仿宋" w:eastAsia="仿宋"/>
          <w:color w:val="auto"/>
          <w:sz w:val="32"/>
          <w:szCs w:val="32"/>
        </w:rPr>
        <w:t>课题经费资助额度和研究需要编制课题经费预算。课题经批准立项后，立项单位须编制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科学、合理、</w:t>
      </w:r>
      <w:r>
        <w:rPr>
          <w:rFonts w:hint="eastAsia" w:ascii="仿宋" w:hAnsi="仿宋" w:eastAsia="仿宋"/>
          <w:color w:val="auto"/>
          <w:sz w:val="32"/>
          <w:szCs w:val="32"/>
        </w:rPr>
        <w:t>详细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color w:val="auto"/>
          <w:sz w:val="32"/>
          <w:szCs w:val="32"/>
        </w:rPr>
        <w:t>经费预算，报市政研会审批。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第三章  资金开支范围</w:t>
      </w:r>
    </w:p>
    <w:p>
      <w:pPr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color w:val="auto"/>
          <w:sz w:val="32"/>
          <w:szCs w:val="32"/>
        </w:rPr>
        <w:t>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资助的课题经费的使用范围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应</w:t>
      </w:r>
      <w:r>
        <w:rPr>
          <w:rFonts w:hint="eastAsia" w:ascii="仿宋" w:hAnsi="仿宋" w:eastAsia="仿宋"/>
          <w:color w:val="auto"/>
          <w:sz w:val="32"/>
          <w:szCs w:val="32"/>
        </w:rPr>
        <w:t>包括研究过程中发生的以下费用：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(一)资料费。购买用于课题研究的图书资料和资料查询、收集、录入、复印、翻拍、翻译等费用。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(二)数据采集费。在课题研究过程中发生的调查、访谈、数据购买、数据分析等费用，以及购买相应技术服务的支出。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(三)会议费。用于课题调研座谈、研讨、咨询、成果评审等召开的会议支出。会议费包括住宿费、伙食费、文件资料印刷费、会议场地租用费、劳务费、专用设备租赁费等。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(四)咨询费。支付给临时聘请的专家咨询费用。咨询费不得支付给课题组成员以及参与课题项目管理人员。专家咨询费标准：以会议形式组织的专家咨询，两天内的，高级专业技术职称人员800元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（税后）</w:t>
      </w:r>
      <w:r>
        <w:rPr>
          <w:rFonts w:hint="eastAsia" w:ascii="仿宋" w:hAnsi="仿宋" w:eastAsia="仿宋"/>
          <w:color w:val="auto"/>
          <w:sz w:val="32"/>
          <w:szCs w:val="32"/>
        </w:rPr>
        <w:t>/人·天，其他专业技术人员500元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（税后）</w:t>
      </w:r>
      <w:r>
        <w:rPr>
          <w:rFonts w:hint="eastAsia" w:ascii="仿宋" w:hAnsi="仿宋" w:eastAsia="仿宋"/>
          <w:color w:val="auto"/>
          <w:sz w:val="32"/>
          <w:szCs w:val="32"/>
        </w:rPr>
        <w:t>/人·天。超过两天的，第三天以后的咨询费标准：高级专业技术职称人员400元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（税后）</w:t>
      </w:r>
      <w:r>
        <w:rPr>
          <w:rFonts w:hint="eastAsia" w:ascii="仿宋" w:hAnsi="仿宋" w:eastAsia="仿宋"/>
          <w:color w:val="auto"/>
          <w:sz w:val="32"/>
          <w:szCs w:val="32"/>
        </w:rPr>
        <w:t>/人·天，其他专业技术人员300元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（税后）</w:t>
      </w:r>
      <w:r>
        <w:rPr>
          <w:rFonts w:hint="eastAsia" w:ascii="仿宋" w:hAnsi="仿宋" w:eastAsia="仿宋"/>
          <w:color w:val="auto"/>
          <w:sz w:val="32"/>
          <w:szCs w:val="32"/>
        </w:rPr>
        <w:t>/人·天。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(五)劳务费。支付给直接参与课题研究的临时聘用人员的劳务性费用，发放标准不高于咨询费发放标准。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劳务费总额不得超过课题经费总额的20%。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(六)差旅费。开展调研活动所发生的外埠差旅费（含城市间交通费、住宿费、伙食补助费等）。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差旅费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支出总额不得超过项目经费总额的20%。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(七)邮寄费。用于资料文件邮寄支出。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(八)印刷费。用于印制资料、成果等</w:t>
      </w:r>
      <w:r>
        <w:rPr>
          <w:rFonts w:ascii="仿宋" w:hAnsi="仿宋" w:eastAsia="仿宋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(九)其它支出。政策允许的用于该立项课题研究的相关费用，支出总额不得超过课题经费总额的20%。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课题立项单位应严格执行国家和北京市有关科研资金支出管理制度。从严控制现金支出事项，对于资料费、会议费、差旅费等，按财政部门相关规定实行银行转账或“公务卡”结算。咨询费、劳务费等支出，原则上应当通过银行转账方式结算。有政府采购要求的，要严格按政府采购相关规定执行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管理与监督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第九条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课题经费拨付到课题负责人单位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，课题经费由课题立项单位统一管理。</w:t>
      </w:r>
      <w:r>
        <w:rPr>
          <w:rFonts w:hint="eastAsia" w:ascii="仿宋" w:hAnsi="仿宋" w:eastAsia="仿宋"/>
          <w:color w:val="auto"/>
          <w:sz w:val="32"/>
          <w:szCs w:val="32"/>
        </w:rPr>
        <w:t>课题经费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应单独核算、</w:t>
      </w:r>
      <w:r>
        <w:rPr>
          <w:rFonts w:hint="eastAsia" w:ascii="仿宋" w:hAnsi="仿宋" w:eastAsia="仿宋"/>
          <w:color w:val="auto"/>
          <w:sz w:val="32"/>
          <w:szCs w:val="32"/>
        </w:rPr>
        <w:t>专款专用，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课题立项单位、课题负责人</w:t>
      </w:r>
      <w:r>
        <w:rPr>
          <w:rFonts w:hint="eastAsia" w:ascii="仿宋" w:hAnsi="仿宋" w:eastAsia="仿宋"/>
          <w:color w:val="auto"/>
          <w:sz w:val="32"/>
          <w:szCs w:val="32"/>
        </w:rPr>
        <w:t>不得以任何方式截留、挤占和挪用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，不得用于与课题研究无关的支出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课题申报时要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科学合理、实事求是地编制经费预算；</w:t>
      </w:r>
      <w:r>
        <w:rPr>
          <w:rFonts w:hint="eastAsia" w:ascii="仿宋" w:hAnsi="仿宋" w:eastAsia="仿宋"/>
          <w:color w:val="auto"/>
          <w:sz w:val="32"/>
          <w:szCs w:val="32"/>
        </w:rPr>
        <w:t>研究中要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严格执行批准后的经费预算；</w:t>
      </w:r>
      <w:r>
        <w:rPr>
          <w:rFonts w:hint="eastAsia" w:ascii="仿宋" w:hAnsi="仿宋" w:eastAsia="仿宋"/>
          <w:color w:val="auto"/>
          <w:sz w:val="32"/>
          <w:szCs w:val="32"/>
        </w:rPr>
        <w:t>结项时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课题负责人</w:t>
      </w:r>
      <w:r>
        <w:rPr>
          <w:rFonts w:hint="eastAsia" w:ascii="仿宋" w:hAnsi="仿宋" w:eastAsia="仿宋"/>
          <w:color w:val="auto"/>
          <w:sz w:val="32"/>
          <w:szCs w:val="32"/>
        </w:rPr>
        <w:t>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会同所在单位财务部门进行经费决算。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第十一条</w:t>
      </w:r>
      <w:r>
        <w:rPr>
          <w:rFonts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有下列情况之一的，缓拨课题经费：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(</w:t>
      </w:r>
      <w:r>
        <w:rPr>
          <w:rFonts w:hint="eastAsia" w:ascii="仿宋" w:hAnsi="仿宋" w:eastAsia="仿宋"/>
          <w:color w:val="auto"/>
          <w:sz w:val="32"/>
          <w:szCs w:val="32"/>
        </w:rPr>
        <w:t>一</w:t>
      </w:r>
      <w:r>
        <w:rPr>
          <w:rFonts w:ascii="仿宋" w:hAnsi="仿宋" w:eastAsia="仿宋"/>
          <w:color w:val="auto"/>
          <w:sz w:val="32"/>
          <w:szCs w:val="32"/>
        </w:rPr>
        <w:t>)</w:t>
      </w:r>
      <w:r>
        <w:rPr>
          <w:rFonts w:hint="eastAsia" w:ascii="仿宋" w:hAnsi="仿宋" w:eastAsia="仿宋"/>
          <w:color w:val="auto"/>
          <w:sz w:val="32"/>
          <w:szCs w:val="32"/>
        </w:rPr>
        <w:t>未按规定编制预算的；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(二)</w:t>
      </w:r>
      <w:r>
        <w:rPr>
          <w:rFonts w:hint="eastAsia" w:ascii="仿宋" w:hAnsi="仿宋" w:eastAsia="仿宋"/>
          <w:color w:val="auto"/>
          <w:sz w:val="32"/>
          <w:szCs w:val="32"/>
        </w:rPr>
        <w:t>未按规定随意变更课题名称或课题负责人的；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(三)</w:t>
      </w:r>
      <w:r>
        <w:rPr>
          <w:rFonts w:hint="eastAsia" w:ascii="仿宋" w:hAnsi="仿宋" w:eastAsia="仿宋"/>
          <w:color w:val="auto"/>
          <w:sz w:val="32"/>
          <w:szCs w:val="32"/>
        </w:rPr>
        <w:t>研究计划、研究内容、研究成果形式做出较大变更和</w:t>
      </w:r>
    </w:p>
    <w:p>
      <w:pPr>
        <w:spacing w:line="360" w:lineRule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调整，但未及时报市政研会研究所核准同意的。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第十二条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凡缓拨课题经费的，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问题整改后，</w:t>
      </w:r>
      <w:r>
        <w:rPr>
          <w:rFonts w:hint="eastAsia" w:ascii="仿宋" w:hAnsi="仿宋" w:eastAsia="仿宋"/>
          <w:color w:val="auto"/>
          <w:sz w:val="32"/>
          <w:szCs w:val="32"/>
        </w:rPr>
        <w:t>由课题负责人提出书面申请，所在单位签署意见，报市政研会研究所审批同意后，方可拨款。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第十三条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因故被</w:t>
      </w:r>
      <w:r>
        <w:rPr>
          <w:rFonts w:hint="eastAsia" w:ascii="仿宋" w:hAnsi="仿宋" w:eastAsia="仿宋"/>
          <w:color w:val="auto"/>
          <w:sz w:val="32"/>
          <w:szCs w:val="32"/>
        </w:rPr>
        <w:t>终止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color w:val="auto"/>
          <w:sz w:val="32"/>
          <w:szCs w:val="32"/>
        </w:rPr>
        <w:t>的课题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的结余经费，以及被撤销立项的课题的已拨经费，课题立项单位</w:t>
      </w:r>
      <w:r>
        <w:rPr>
          <w:rFonts w:hint="eastAsia" w:ascii="仿宋" w:hAnsi="仿宋" w:eastAsia="仿宋"/>
          <w:color w:val="auto"/>
          <w:sz w:val="32"/>
          <w:szCs w:val="32"/>
        </w:rPr>
        <w:t>应及时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按原渠道退回经费。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第十四条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课题负责人应当依法依规使用课题经费，并自觉接受有关部门的监督检查。课题立项单位应加强经费预算审核把关，规范财务支出行为，完善内部风险防控机制，强化经费使用绩效评价，保障经费使用安全规范科学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auto"/>
          <w:sz w:val="32"/>
          <w:szCs w:val="32"/>
        </w:rPr>
        <w:t>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课题经费报销时，要严格执行审计和财务有关规定要求，支出事项相关支持佐证资料要齐全。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课题经费管理和使用情况，要自觉接受财政、审计、监察部门的监督检查。</w:t>
      </w:r>
      <w:r>
        <w:rPr>
          <w:rFonts w:hint="eastAsia" w:ascii="仿宋" w:hAnsi="仿宋" w:eastAsia="仿宋"/>
          <w:color w:val="auto"/>
          <w:sz w:val="32"/>
          <w:szCs w:val="32"/>
        </w:rPr>
        <w:t>市政研会研究所将不定期对课题资助经费使用情况进行检查，对违反本办法规定的，将视情况分别采取书面通知整改、通报批评、撤销课题立项并追回全部已拨经费等措施进行处理。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auto"/>
          <w:sz w:val="32"/>
          <w:szCs w:val="32"/>
        </w:rPr>
        <w:t>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课题经费使用情况作为课题结项的必要条件之一，使用不规范者，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暂时</w:t>
      </w:r>
      <w:r>
        <w:rPr>
          <w:rFonts w:hint="eastAsia" w:ascii="仿宋" w:hAnsi="仿宋" w:eastAsia="仿宋"/>
          <w:color w:val="auto"/>
          <w:sz w:val="32"/>
          <w:szCs w:val="32"/>
        </w:rPr>
        <w:t>不予结项，待整改完成后符合本办法规定后再予以结项。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本办法自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月1日起开始执行。原管理办法即行废止。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pgNumType w:fmt="decimalFullWidt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6488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１</w:t>
        </w:r>
        <w:r>
          <w:rPr>
            <w:rFonts w:hint="eastAsia"/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6488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４</w:t>
        </w:r>
        <w:r>
          <w:rPr>
            <w:rFonts w:hint="eastAsia"/>
            <w:lang w:val="zh-CN"/>
          </w:rPr>
          <w:fldChar w:fldCharType="end"/>
        </w:r>
      </w:p>
    </w:sdtContent>
  </w:sdt>
  <w:p>
    <w:pPr>
      <w:pStyle w:val="4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EDA2C"/>
    <w:multiLevelType w:val="singleLevel"/>
    <w:tmpl w:val="78FEDA2C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4631674"/>
    <w:rsid w:val="00001E43"/>
    <w:rsid w:val="00031BC4"/>
    <w:rsid w:val="000321CD"/>
    <w:rsid w:val="000446DE"/>
    <w:rsid w:val="00055A88"/>
    <w:rsid w:val="000575C4"/>
    <w:rsid w:val="00070ECD"/>
    <w:rsid w:val="00084260"/>
    <w:rsid w:val="000A6E68"/>
    <w:rsid w:val="000A74D6"/>
    <w:rsid w:val="000D7B14"/>
    <w:rsid w:val="000D7B18"/>
    <w:rsid w:val="000E6860"/>
    <w:rsid w:val="000F74CE"/>
    <w:rsid w:val="00100458"/>
    <w:rsid w:val="00105678"/>
    <w:rsid w:val="00120BE3"/>
    <w:rsid w:val="001235DF"/>
    <w:rsid w:val="00145B5C"/>
    <w:rsid w:val="00152193"/>
    <w:rsid w:val="001610A1"/>
    <w:rsid w:val="00177034"/>
    <w:rsid w:val="001961D7"/>
    <w:rsid w:val="00197B7B"/>
    <w:rsid w:val="001A6451"/>
    <w:rsid w:val="001B61CA"/>
    <w:rsid w:val="001C266C"/>
    <w:rsid w:val="001C4822"/>
    <w:rsid w:val="001C79D2"/>
    <w:rsid w:val="00223E4D"/>
    <w:rsid w:val="00226DA6"/>
    <w:rsid w:val="0023759C"/>
    <w:rsid w:val="00252FE2"/>
    <w:rsid w:val="002536CC"/>
    <w:rsid w:val="0025570A"/>
    <w:rsid w:val="002617D9"/>
    <w:rsid w:val="002925EE"/>
    <w:rsid w:val="002941EF"/>
    <w:rsid w:val="002B53B9"/>
    <w:rsid w:val="002B7F1D"/>
    <w:rsid w:val="002C5BDD"/>
    <w:rsid w:val="002C7F00"/>
    <w:rsid w:val="002E6D71"/>
    <w:rsid w:val="002F0CD6"/>
    <w:rsid w:val="00304A16"/>
    <w:rsid w:val="00316C96"/>
    <w:rsid w:val="00316E4C"/>
    <w:rsid w:val="0037463F"/>
    <w:rsid w:val="0039141B"/>
    <w:rsid w:val="00392A1C"/>
    <w:rsid w:val="00392AA8"/>
    <w:rsid w:val="003B24F9"/>
    <w:rsid w:val="003C00A0"/>
    <w:rsid w:val="003D3BEB"/>
    <w:rsid w:val="003D4CCA"/>
    <w:rsid w:val="003D7A99"/>
    <w:rsid w:val="003D7E04"/>
    <w:rsid w:val="003F6957"/>
    <w:rsid w:val="00443F3D"/>
    <w:rsid w:val="004475B1"/>
    <w:rsid w:val="004532F7"/>
    <w:rsid w:val="004708B4"/>
    <w:rsid w:val="0047175C"/>
    <w:rsid w:val="0047456E"/>
    <w:rsid w:val="00484E15"/>
    <w:rsid w:val="004A2ABE"/>
    <w:rsid w:val="004A341A"/>
    <w:rsid w:val="004C7094"/>
    <w:rsid w:val="004D053E"/>
    <w:rsid w:val="004D5814"/>
    <w:rsid w:val="004D6413"/>
    <w:rsid w:val="004F7874"/>
    <w:rsid w:val="00500F64"/>
    <w:rsid w:val="0050780B"/>
    <w:rsid w:val="00507F5B"/>
    <w:rsid w:val="00517A8B"/>
    <w:rsid w:val="00520BF0"/>
    <w:rsid w:val="00530E22"/>
    <w:rsid w:val="00550108"/>
    <w:rsid w:val="00584BFF"/>
    <w:rsid w:val="00597F28"/>
    <w:rsid w:val="005A2ECB"/>
    <w:rsid w:val="005B2066"/>
    <w:rsid w:val="005E428A"/>
    <w:rsid w:val="005E7A8A"/>
    <w:rsid w:val="00605F79"/>
    <w:rsid w:val="00623DB7"/>
    <w:rsid w:val="00651A8A"/>
    <w:rsid w:val="0067656C"/>
    <w:rsid w:val="0067775C"/>
    <w:rsid w:val="00681550"/>
    <w:rsid w:val="00697235"/>
    <w:rsid w:val="006A2DB3"/>
    <w:rsid w:val="006A6A99"/>
    <w:rsid w:val="006B41B0"/>
    <w:rsid w:val="006B41E9"/>
    <w:rsid w:val="006F136E"/>
    <w:rsid w:val="007046C4"/>
    <w:rsid w:val="0070568D"/>
    <w:rsid w:val="00706B9E"/>
    <w:rsid w:val="00727E65"/>
    <w:rsid w:val="00747F16"/>
    <w:rsid w:val="007539AD"/>
    <w:rsid w:val="00775235"/>
    <w:rsid w:val="00776EC7"/>
    <w:rsid w:val="007847FE"/>
    <w:rsid w:val="00793800"/>
    <w:rsid w:val="007949C7"/>
    <w:rsid w:val="007B3C37"/>
    <w:rsid w:val="007C7ACB"/>
    <w:rsid w:val="007D36B8"/>
    <w:rsid w:val="007F726E"/>
    <w:rsid w:val="00802F96"/>
    <w:rsid w:val="00821ADE"/>
    <w:rsid w:val="008321C4"/>
    <w:rsid w:val="00836437"/>
    <w:rsid w:val="00875672"/>
    <w:rsid w:val="008B1E69"/>
    <w:rsid w:val="008B4FFD"/>
    <w:rsid w:val="008C71FD"/>
    <w:rsid w:val="008D5F64"/>
    <w:rsid w:val="008F7FCD"/>
    <w:rsid w:val="00905904"/>
    <w:rsid w:val="009328BD"/>
    <w:rsid w:val="009400E6"/>
    <w:rsid w:val="009402FB"/>
    <w:rsid w:val="00957EF5"/>
    <w:rsid w:val="0097336C"/>
    <w:rsid w:val="009735E0"/>
    <w:rsid w:val="009818CE"/>
    <w:rsid w:val="00984BCE"/>
    <w:rsid w:val="00995E10"/>
    <w:rsid w:val="009A6871"/>
    <w:rsid w:val="009C1126"/>
    <w:rsid w:val="009C4903"/>
    <w:rsid w:val="009E6393"/>
    <w:rsid w:val="009F5951"/>
    <w:rsid w:val="00A11CFB"/>
    <w:rsid w:val="00A1321D"/>
    <w:rsid w:val="00A218B3"/>
    <w:rsid w:val="00A22349"/>
    <w:rsid w:val="00A27B88"/>
    <w:rsid w:val="00A55122"/>
    <w:rsid w:val="00A66689"/>
    <w:rsid w:val="00A94E61"/>
    <w:rsid w:val="00AA019F"/>
    <w:rsid w:val="00AE20EB"/>
    <w:rsid w:val="00B56300"/>
    <w:rsid w:val="00B60554"/>
    <w:rsid w:val="00B62BFD"/>
    <w:rsid w:val="00B84453"/>
    <w:rsid w:val="00B96F58"/>
    <w:rsid w:val="00BA2E83"/>
    <w:rsid w:val="00BC2FAD"/>
    <w:rsid w:val="00BC4572"/>
    <w:rsid w:val="00BD1454"/>
    <w:rsid w:val="00BF4D35"/>
    <w:rsid w:val="00C01125"/>
    <w:rsid w:val="00C05330"/>
    <w:rsid w:val="00C2328B"/>
    <w:rsid w:val="00C31553"/>
    <w:rsid w:val="00C31A8F"/>
    <w:rsid w:val="00C3783D"/>
    <w:rsid w:val="00C56730"/>
    <w:rsid w:val="00C666AF"/>
    <w:rsid w:val="00C7244D"/>
    <w:rsid w:val="00C95CDB"/>
    <w:rsid w:val="00C9698A"/>
    <w:rsid w:val="00CC2598"/>
    <w:rsid w:val="00CC2D80"/>
    <w:rsid w:val="00CF4D8A"/>
    <w:rsid w:val="00D57EFE"/>
    <w:rsid w:val="00D634F8"/>
    <w:rsid w:val="00D87D6B"/>
    <w:rsid w:val="00DC36A7"/>
    <w:rsid w:val="00DD2B82"/>
    <w:rsid w:val="00DD40A5"/>
    <w:rsid w:val="00DF1363"/>
    <w:rsid w:val="00DF2555"/>
    <w:rsid w:val="00DF2B27"/>
    <w:rsid w:val="00E10474"/>
    <w:rsid w:val="00E11412"/>
    <w:rsid w:val="00E33F6F"/>
    <w:rsid w:val="00E34078"/>
    <w:rsid w:val="00E348B4"/>
    <w:rsid w:val="00E40CB8"/>
    <w:rsid w:val="00E45979"/>
    <w:rsid w:val="00E50087"/>
    <w:rsid w:val="00E5489F"/>
    <w:rsid w:val="00E651D7"/>
    <w:rsid w:val="00EA3451"/>
    <w:rsid w:val="00ED7C4D"/>
    <w:rsid w:val="00EE021E"/>
    <w:rsid w:val="00EE3F9D"/>
    <w:rsid w:val="00EE6ED6"/>
    <w:rsid w:val="00EF617C"/>
    <w:rsid w:val="00F010FD"/>
    <w:rsid w:val="00F02E9E"/>
    <w:rsid w:val="00F528EC"/>
    <w:rsid w:val="00F8001D"/>
    <w:rsid w:val="00F86F62"/>
    <w:rsid w:val="00F96FC5"/>
    <w:rsid w:val="00FB335B"/>
    <w:rsid w:val="00FBD359"/>
    <w:rsid w:val="00FD243E"/>
    <w:rsid w:val="00FD554F"/>
    <w:rsid w:val="00FD5756"/>
    <w:rsid w:val="00FF78C5"/>
    <w:rsid w:val="34631674"/>
    <w:rsid w:val="37FE708B"/>
    <w:rsid w:val="39AE2337"/>
    <w:rsid w:val="39EC528A"/>
    <w:rsid w:val="3C5FAB30"/>
    <w:rsid w:val="3DBF4BC9"/>
    <w:rsid w:val="3EFC6F93"/>
    <w:rsid w:val="3F7716D8"/>
    <w:rsid w:val="3FF863F7"/>
    <w:rsid w:val="3FFD87D8"/>
    <w:rsid w:val="44FFC5F4"/>
    <w:rsid w:val="4FBF3F9F"/>
    <w:rsid w:val="5773F4A3"/>
    <w:rsid w:val="57FFC9DB"/>
    <w:rsid w:val="5E7E3F4E"/>
    <w:rsid w:val="5EBE40CD"/>
    <w:rsid w:val="5EFD9D53"/>
    <w:rsid w:val="5EFEE41D"/>
    <w:rsid w:val="5F6EC4C9"/>
    <w:rsid w:val="5FB9C6E1"/>
    <w:rsid w:val="5FFD1065"/>
    <w:rsid w:val="67DF364F"/>
    <w:rsid w:val="69EFF362"/>
    <w:rsid w:val="69FF2310"/>
    <w:rsid w:val="6F7E7E6C"/>
    <w:rsid w:val="6FBFA7AF"/>
    <w:rsid w:val="6FF72EC7"/>
    <w:rsid w:val="734977F6"/>
    <w:rsid w:val="75573A30"/>
    <w:rsid w:val="75CF4EBB"/>
    <w:rsid w:val="76DE58F3"/>
    <w:rsid w:val="76DF4030"/>
    <w:rsid w:val="76EE181F"/>
    <w:rsid w:val="77FD2EC1"/>
    <w:rsid w:val="78718656"/>
    <w:rsid w:val="7B7946B7"/>
    <w:rsid w:val="7BE33104"/>
    <w:rsid w:val="7BF7EE1B"/>
    <w:rsid w:val="7C6FDBC4"/>
    <w:rsid w:val="7D7F53D8"/>
    <w:rsid w:val="7DB789AB"/>
    <w:rsid w:val="7DEFADB6"/>
    <w:rsid w:val="7DFF2A4C"/>
    <w:rsid w:val="7E7F1F57"/>
    <w:rsid w:val="7FBF1DAE"/>
    <w:rsid w:val="7FDE947B"/>
    <w:rsid w:val="7FFB99F6"/>
    <w:rsid w:val="7FFE4EAC"/>
    <w:rsid w:val="8E826D30"/>
    <w:rsid w:val="8FF9E1A6"/>
    <w:rsid w:val="9B5F5C1C"/>
    <w:rsid w:val="9BFEBA87"/>
    <w:rsid w:val="9C3F5431"/>
    <w:rsid w:val="9FA1C558"/>
    <w:rsid w:val="B5FEB6AA"/>
    <w:rsid w:val="B7D936A7"/>
    <w:rsid w:val="BCFF8E7A"/>
    <w:rsid w:val="BDEBC8E7"/>
    <w:rsid w:val="BE3720BE"/>
    <w:rsid w:val="BFDA165A"/>
    <w:rsid w:val="C1FE16E8"/>
    <w:rsid w:val="C9DFA78D"/>
    <w:rsid w:val="CCE72390"/>
    <w:rsid w:val="CE74EBC8"/>
    <w:rsid w:val="D9B3BE8C"/>
    <w:rsid w:val="DDFF4FEF"/>
    <w:rsid w:val="DE7707C2"/>
    <w:rsid w:val="DFAB6E9F"/>
    <w:rsid w:val="E7BFB86A"/>
    <w:rsid w:val="ECBFB0B9"/>
    <w:rsid w:val="EF73888F"/>
    <w:rsid w:val="F3E822BA"/>
    <w:rsid w:val="F6FB3201"/>
    <w:rsid w:val="F76F7ADB"/>
    <w:rsid w:val="F7D4B316"/>
    <w:rsid w:val="F7EB0582"/>
    <w:rsid w:val="FBEF1A3A"/>
    <w:rsid w:val="FBFB61B5"/>
    <w:rsid w:val="FDF77811"/>
    <w:rsid w:val="FDF790A7"/>
    <w:rsid w:val="FF2CE224"/>
    <w:rsid w:val="FF65FCAD"/>
    <w:rsid w:val="FF7B9514"/>
    <w:rsid w:val="FFAB31B7"/>
    <w:rsid w:val="FFECC7B0"/>
    <w:rsid w:val="FFEDD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paragraph" w:customStyle="1" w:styleId="16">
    <w:name w:val="00 大标题"/>
    <w:basedOn w:val="1"/>
    <w:qFormat/>
    <w:uiPriority w:val="0"/>
    <w:pPr>
      <w:keepNext/>
      <w:keepLines/>
      <w:snapToGrid w:val="0"/>
      <w:spacing w:line="700" w:lineRule="exact"/>
      <w:jc w:val="center"/>
      <w:outlineLvl w:val="2"/>
    </w:pPr>
    <w:rPr>
      <w:rFonts w:ascii="方正小标宋简体" w:hAnsi="Times New Roman" w:eastAsia="方正小标宋简体" w:cs="Times New Roman"/>
      <w:bCs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243</Words>
  <Characters>1390</Characters>
  <Lines>11</Lines>
  <Paragraphs>3</Paragraphs>
  <TotalTime>87</TotalTime>
  <ScaleCrop>false</ScaleCrop>
  <LinksUpToDate>false</LinksUpToDate>
  <CharactersWithSpaces>1630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2018-08-04T22:55:00Z</dcterms:created>
  <dc:creator>渊深海阔</dc:creator>
  <cp:lastModifiedBy>lenovo</cp:lastModifiedBy>
  <cp:lastPrinted>2018-11-11T00:42:00Z</cp:lastPrinted>
  <dcterms:modified xsi:type="dcterms:W3CDTF">2022-03-28T14:31:39Z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