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仿宋" w:hAnsi="仿宋" w:eastAsia="仿宋"/>
        </w:rPr>
      </w:pPr>
      <w:bookmarkStart w:id="0" w:name="_Hlk100778336"/>
      <w:bookmarkEnd w:id="0"/>
    </w:p>
    <w:p>
      <w:pPr>
        <w:ind w:firstLine="640"/>
        <w:rPr>
          <w:rFonts w:ascii="仿宋" w:hAnsi="仿宋" w:eastAsia="仿宋"/>
        </w:rPr>
      </w:pPr>
    </w:p>
    <w:p>
      <w:pPr>
        <w:ind w:firstLine="640"/>
        <w:rPr>
          <w:rFonts w:ascii="仿宋" w:hAnsi="仿宋" w:eastAsia="仿宋"/>
        </w:rPr>
      </w:pPr>
    </w:p>
    <w:p>
      <w:pPr>
        <w:spacing w:line="840" w:lineRule="auto"/>
        <w:ind w:firstLine="960"/>
        <w:jc w:val="center"/>
        <w:rPr>
          <w:rFonts w:ascii="黑体" w:hAnsi="黑体" w:eastAsia="黑体"/>
          <w:sz w:val="48"/>
          <w:szCs w:val="48"/>
        </w:rPr>
      </w:pPr>
      <w:bookmarkStart w:id="1" w:name="_Toc100847000"/>
      <w:bookmarkStart w:id="2" w:name="_Toc100845674"/>
      <w:r>
        <w:rPr>
          <w:rFonts w:hint="eastAsia" w:ascii="黑体" w:hAnsi="黑体" w:eastAsia="黑体"/>
          <w:sz w:val="48"/>
          <w:szCs w:val="48"/>
        </w:rPr>
        <w:t>北京市思想政治工作研究会</w:t>
      </w:r>
    </w:p>
    <w:bookmarkEnd w:id="1"/>
    <w:bookmarkEnd w:id="2"/>
    <w:p>
      <w:pPr>
        <w:spacing w:line="840" w:lineRule="auto"/>
        <w:ind w:firstLine="960"/>
        <w:jc w:val="center"/>
        <w:rPr>
          <w:rFonts w:ascii="黑体" w:hAnsi="黑体" w:eastAsia="黑体"/>
          <w:sz w:val="48"/>
          <w:szCs w:val="48"/>
        </w:rPr>
      </w:pPr>
      <w:bookmarkStart w:id="3" w:name="_Toc100847001"/>
      <w:bookmarkStart w:id="4" w:name="_Toc100845675"/>
      <w:r>
        <w:rPr>
          <w:rFonts w:ascii="黑体" w:hAnsi="黑体" w:eastAsia="黑体"/>
          <w:sz w:val="48"/>
          <w:szCs w:val="48"/>
        </w:rPr>
        <w:t>项目支出绩效</w:t>
      </w:r>
      <w:r>
        <w:rPr>
          <w:rFonts w:hint="eastAsia" w:ascii="黑体" w:hAnsi="黑体" w:eastAsia="黑体"/>
          <w:sz w:val="48"/>
          <w:szCs w:val="48"/>
        </w:rPr>
        <w:t>评价</w:t>
      </w:r>
      <w:r>
        <w:rPr>
          <w:rFonts w:ascii="黑体" w:hAnsi="黑体" w:eastAsia="黑体"/>
          <w:sz w:val="48"/>
          <w:szCs w:val="48"/>
        </w:rPr>
        <w:t>报告</w:t>
      </w:r>
      <w:bookmarkEnd w:id="3"/>
      <w:bookmarkEnd w:id="4"/>
    </w:p>
    <w:p>
      <w:pPr>
        <w:spacing w:line="800" w:lineRule="exact"/>
        <w:ind w:firstLine="880"/>
        <w:jc w:val="center"/>
        <w:rPr>
          <w:rFonts w:ascii="仿宋" w:hAnsi="仿宋" w:eastAsia="仿宋"/>
          <w:color w:val="000000"/>
          <w:sz w:val="44"/>
          <w:szCs w:val="44"/>
        </w:rPr>
      </w:pPr>
    </w:p>
    <w:p>
      <w:pPr>
        <w:spacing w:line="800" w:lineRule="exact"/>
        <w:ind w:firstLine="880"/>
        <w:jc w:val="center"/>
        <w:rPr>
          <w:rFonts w:ascii="仿宋" w:hAnsi="仿宋" w:eastAsia="仿宋"/>
          <w:color w:val="000000"/>
          <w:sz w:val="44"/>
          <w:szCs w:val="44"/>
        </w:rPr>
      </w:pPr>
    </w:p>
    <w:p>
      <w:pPr>
        <w:spacing w:line="700" w:lineRule="exact"/>
        <w:ind w:firstLine="880"/>
        <w:jc w:val="center"/>
        <w:rPr>
          <w:rFonts w:ascii="仿宋" w:hAnsi="仿宋" w:eastAsia="仿宋"/>
          <w:color w:val="000000"/>
          <w:sz w:val="44"/>
          <w:szCs w:val="44"/>
        </w:rPr>
      </w:pPr>
    </w:p>
    <w:p>
      <w:pPr>
        <w:spacing w:line="700" w:lineRule="exact"/>
        <w:ind w:firstLine="880"/>
        <w:jc w:val="center"/>
        <w:rPr>
          <w:rFonts w:ascii="仿宋" w:hAnsi="仿宋" w:eastAsia="仿宋"/>
          <w:color w:val="000000"/>
          <w:sz w:val="44"/>
          <w:szCs w:val="44"/>
        </w:rPr>
      </w:pPr>
    </w:p>
    <w:p>
      <w:pPr>
        <w:spacing w:line="700" w:lineRule="exact"/>
        <w:ind w:firstLine="880"/>
        <w:jc w:val="center"/>
        <w:rPr>
          <w:rFonts w:ascii="仿宋" w:hAnsi="仿宋" w:eastAsia="仿宋"/>
          <w:color w:val="000000"/>
          <w:sz w:val="44"/>
          <w:szCs w:val="44"/>
        </w:rPr>
      </w:pPr>
    </w:p>
    <w:p>
      <w:pPr>
        <w:spacing w:line="700" w:lineRule="exact"/>
        <w:ind w:firstLine="880"/>
        <w:jc w:val="center"/>
        <w:rPr>
          <w:rFonts w:ascii="仿宋" w:hAnsi="仿宋" w:eastAsia="仿宋"/>
          <w:color w:val="000000"/>
          <w:sz w:val="44"/>
          <w:szCs w:val="44"/>
        </w:rPr>
      </w:pPr>
    </w:p>
    <w:p>
      <w:pPr>
        <w:spacing w:line="700" w:lineRule="exact"/>
        <w:ind w:firstLine="880"/>
        <w:jc w:val="center"/>
        <w:rPr>
          <w:rFonts w:ascii="仿宋" w:hAnsi="仿宋" w:eastAsia="仿宋"/>
          <w:color w:val="000000"/>
          <w:sz w:val="44"/>
          <w:szCs w:val="44"/>
        </w:rPr>
      </w:pPr>
    </w:p>
    <w:p>
      <w:pPr>
        <w:spacing w:line="700" w:lineRule="exact"/>
        <w:ind w:firstLine="880"/>
        <w:jc w:val="center"/>
        <w:rPr>
          <w:rFonts w:ascii="仿宋" w:hAnsi="仿宋" w:eastAsia="仿宋"/>
          <w:color w:val="000000"/>
          <w:sz w:val="44"/>
          <w:szCs w:val="44"/>
        </w:rPr>
      </w:pPr>
    </w:p>
    <w:p>
      <w:pPr>
        <w:ind w:firstLine="0" w:firstLineChars="0"/>
        <w:jc w:val="center"/>
        <w:rPr>
          <w:rFonts w:ascii="黑体" w:hAnsi="黑体" w:eastAsia="黑体"/>
          <w:color w:val="000000"/>
          <w:sz w:val="44"/>
          <w:szCs w:val="44"/>
        </w:rPr>
      </w:pPr>
      <w:r>
        <w:rPr>
          <w:rFonts w:hint="eastAsia" w:ascii="黑体" w:hAnsi="黑体" w:eastAsia="黑体"/>
          <w:color w:val="000000"/>
          <w:sz w:val="44"/>
          <w:szCs w:val="44"/>
        </w:rPr>
        <w:t>北京市思想政治工作研究会</w:t>
      </w:r>
    </w:p>
    <w:p>
      <w:pPr>
        <w:ind w:firstLine="0" w:firstLineChars="0"/>
        <w:jc w:val="center"/>
        <w:rPr>
          <w:rFonts w:ascii="黑体" w:hAnsi="黑体" w:eastAsia="黑体"/>
          <w:color w:val="000000"/>
          <w:sz w:val="44"/>
          <w:szCs w:val="44"/>
        </w:rPr>
      </w:pPr>
      <w:r>
        <w:rPr>
          <w:rFonts w:ascii="黑体" w:hAnsi="黑体" w:eastAsia="黑体"/>
          <w:color w:val="000000"/>
          <w:sz w:val="44"/>
          <w:szCs w:val="44"/>
        </w:rPr>
        <w:t>二</w:t>
      </w:r>
      <w:r>
        <w:rPr>
          <w:rFonts w:hint="eastAsia" w:ascii="黑体" w:hAnsi="黑体" w:eastAsia="黑体" w:cs="宋体"/>
          <w:color w:val="000000"/>
          <w:sz w:val="44"/>
          <w:szCs w:val="44"/>
        </w:rPr>
        <w:t>〇</w:t>
      </w:r>
      <w:r>
        <w:rPr>
          <w:rFonts w:ascii="黑体" w:hAnsi="黑体" w:eastAsia="黑体"/>
          <w:color w:val="000000"/>
          <w:sz w:val="44"/>
          <w:szCs w:val="44"/>
        </w:rPr>
        <w:t>二</w:t>
      </w:r>
      <w:r>
        <w:rPr>
          <w:rFonts w:hint="eastAsia" w:ascii="黑体" w:hAnsi="黑体" w:eastAsia="黑体"/>
          <w:color w:val="000000"/>
          <w:sz w:val="44"/>
          <w:szCs w:val="44"/>
          <w:lang w:val="en-US" w:eastAsia="zh-CN"/>
        </w:rPr>
        <w:t>四</w:t>
      </w:r>
      <w:r>
        <w:rPr>
          <w:rFonts w:ascii="黑体" w:hAnsi="黑体" w:eastAsia="黑体"/>
          <w:color w:val="000000"/>
          <w:sz w:val="44"/>
          <w:szCs w:val="44"/>
        </w:rPr>
        <w:t>年</w:t>
      </w:r>
      <w:r>
        <w:rPr>
          <w:rFonts w:hint="eastAsia" w:ascii="黑体" w:hAnsi="黑体" w:eastAsia="黑体"/>
          <w:color w:val="000000"/>
          <w:sz w:val="44"/>
          <w:szCs w:val="44"/>
        </w:rPr>
        <w:t>五</w:t>
      </w:r>
      <w:r>
        <w:rPr>
          <w:rFonts w:ascii="黑体" w:hAnsi="黑体" w:eastAsia="黑体"/>
          <w:color w:val="000000"/>
          <w:sz w:val="44"/>
          <w:szCs w:val="44"/>
        </w:rPr>
        <w:t>月</w:t>
      </w:r>
    </w:p>
    <w:p>
      <w:pPr>
        <w:widowControl/>
        <w:spacing w:before="0" w:after="0" w:line="240" w:lineRule="auto"/>
        <w:ind w:firstLine="0" w:firstLineChars="0"/>
        <w:jc w:val="left"/>
        <w:rPr>
          <w:rFonts w:ascii="仿宋" w:hAnsi="仿宋" w:eastAsia="仿宋"/>
          <w:bCs/>
          <w:color w:val="000000"/>
          <w:sz w:val="40"/>
          <w:szCs w:val="40"/>
        </w:rPr>
      </w:pPr>
    </w:p>
    <w:p>
      <w:pPr>
        <w:ind w:firstLine="883"/>
        <w:jc w:val="center"/>
        <w:rPr>
          <w:rFonts w:ascii="仿宋" w:hAnsi="仿宋" w:eastAsia="仿宋"/>
          <w:b/>
          <w:bCs/>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74" w:right="1701" w:bottom="1418" w:left="1701" w:header="851" w:footer="992" w:gutter="0"/>
          <w:pgNumType w:fmt="numberInDash" w:start="1"/>
          <w:cols w:space="425" w:num="1"/>
          <w:docGrid w:type="lines" w:linePitch="312" w:charSpace="0"/>
        </w:sectPr>
      </w:pPr>
    </w:p>
    <w:p>
      <w:pPr>
        <w:ind w:firstLine="883"/>
        <w:jc w:val="center"/>
        <w:rPr>
          <w:rFonts w:ascii="仿宋" w:hAnsi="仿宋" w:eastAsia="仿宋"/>
          <w:b/>
          <w:bCs/>
          <w:sz w:val="44"/>
          <w:szCs w:val="44"/>
        </w:rPr>
      </w:pPr>
    </w:p>
    <w:p>
      <w:pPr>
        <w:ind w:firstLine="960"/>
        <w:jc w:val="center"/>
        <w:rPr>
          <w:rFonts w:ascii="黑体" w:hAnsi="黑体" w:eastAsia="黑体"/>
          <w:sz w:val="48"/>
          <w:szCs w:val="48"/>
        </w:rPr>
      </w:pPr>
      <w:r>
        <w:rPr>
          <w:rFonts w:hint="eastAsia" w:ascii="黑体" w:hAnsi="黑体" w:eastAsia="黑体"/>
          <w:sz w:val="48"/>
          <w:szCs w:val="48"/>
        </w:rPr>
        <w:t>北京市思想政治工作研究会</w:t>
      </w:r>
    </w:p>
    <w:p>
      <w:pPr>
        <w:ind w:firstLine="960"/>
        <w:jc w:val="center"/>
        <w:rPr>
          <w:rFonts w:ascii="黑体" w:hAnsi="黑体" w:eastAsia="黑体"/>
          <w:sz w:val="48"/>
          <w:szCs w:val="48"/>
        </w:rPr>
      </w:pPr>
      <w:r>
        <w:rPr>
          <w:rFonts w:hint="eastAsia" w:ascii="黑体" w:hAnsi="黑体" w:eastAsia="黑体"/>
          <w:sz w:val="48"/>
          <w:szCs w:val="48"/>
          <w:lang w:val="en-US" w:eastAsia="zh-CN"/>
        </w:rPr>
        <w:t>举办全市思想政治工作示范培训</w:t>
      </w:r>
      <w:r>
        <w:rPr>
          <w:rFonts w:hint="eastAsia" w:ascii="黑体" w:hAnsi="黑体" w:eastAsia="黑体"/>
          <w:sz w:val="48"/>
          <w:szCs w:val="48"/>
        </w:rPr>
        <w:t>项目支出绩效评价报告</w:t>
      </w:r>
    </w:p>
    <w:p>
      <w:pPr>
        <w:ind w:firstLine="1044"/>
        <w:jc w:val="center"/>
        <w:rPr>
          <w:rFonts w:ascii="仿宋" w:hAnsi="仿宋" w:eastAsia="仿宋"/>
          <w:b/>
          <w:bCs/>
          <w:sz w:val="52"/>
        </w:rPr>
      </w:pPr>
    </w:p>
    <w:p>
      <w:pPr>
        <w:ind w:firstLine="600"/>
        <w:jc w:val="center"/>
        <w:rPr>
          <w:rFonts w:ascii="仿宋" w:hAnsi="仿宋" w:eastAsia="仿宋"/>
          <w:sz w:val="30"/>
        </w:rPr>
      </w:pPr>
    </w:p>
    <w:p>
      <w:pPr>
        <w:ind w:firstLine="600"/>
        <w:jc w:val="center"/>
        <w:rPr>
          <w:rFonts w:ascii="仿宋" w:hAnsi="仿宋" w:eastAsia="仿宋"/>
          <w:sz w:val="30"/>
        </w:rPr>
      </w:pPr>
    </w:p>
    <w:p>
      <w:pPr>
        <w:ind w:firstLine="600"/>
        <w:rPr>
          <w:rFonts w:ascii="仿宋" w:hAnsi="仿宋" w:eastAsia="仿宋"/>
          <w:sz w:val="30"/>
        </w:rPr>
      </w:pPr>
    </w:p>
    <w:p>
      <w:pPr>
        <w:spacing w:line="600" w:lineRule="auto"/>
        <w:ind w:firstLine="640"/>
        <w:rPr>
          <w:rFonts w:ascii="仿宋" w:hAnsi="仿宋" w:eastAsia="仿宋"/>
        </w:rPr>
      </w:pPr>
    </w:p>
    <w:p>
      <w:pPr>
        <w:spacing w:line="600" w:lineRule="auto"/>
        <w:ind w:firstLine="640"/>
        <w:rPr>
          <w:rFonts w:ascii="仿宋" w:hAnsi="仿宋" w:eastAsia="仿宋"/>
        </w:rPr>
      </w:pPr>
    </w:p>
    <w:p>
      <w:pPr>
        <w:spacing w:line="600" w:lineRule="auto"/>
        <w:ind w:firstLine="640"/>
        <w:rPr>
          <w:rFonts w:ascii="仿宋" w:hAnsi="仿宋" w:eastAsia="仿宋"/>
        </w:rPr>
      </w:pPr>
    </w:p>
    <w:p>
      <w:pPr>
        <w:spacing w:line="600" w:lineRule="auto"/>
        <w:ind w:firstLine="720"/>
        <w:rPr>
          <w:rFonts w:asciiTheme="minorEastAsia" w:hAnsiTheme="minorEastAsia" w:eastAsiaTheme="minorEastAsia"/>
          <w:sz w:val="36"/>
          <w:szCs w:val="36"/>
          <w:u w:val="single"/>
        </w:rPr>
      </w:pPr>
      <w:r>
        <w:rPr>
          <w:rFonts w:hint="eastAsia" w:asciiTheme="minorEastAsia" w:hAnsiTheme="minorEastAsia" w:eastAsiaTheme="minorEastAsia"/>
          <w:sz w:val="36"/>
          <w:szCs w:val="36"/>
        </w:rPr>
        <w:t xml:space="preserve">主管部门 </w:t>
      </w:r>
      <w:r>
        <w:rPr>
          <w:rFonts w:hint="eastAsia" w:asciiTheme="minorEastAsia" w:hAnsiTheme="minorEastAsia" w:eastAsiaTheme="minorEastAsia"/>
          <w:sz w:val="36"/>
          <w:szCs w:val="36"/>
          <w:u w:val="single"/>
        </w:rPr>
        <w:t xml:space="preserve">北京市思想政治工作研究会 </w:t>
      </w:r>
    </w:p>
    <w:p>
      <w:pPr>
        <w:spacing w:line="600" w:lineRule="auto"/>
        <w:ind w:firstLine="720"/>
        <w:rPr>
          <w:rFonts w:asciiTheme="minorEastAsia" w:hAnsiTheme="minorEastAsia" w:eastAsiaTheme="minorEastAsia"/>
          <w:sz w:val="36"/>
          <w:szCs w:val="36"/>
          <w:u w:val="single"/>
        </w:rPr>
      </w:pPr>
      <w:r>
        <w:rPr>
          <w:rFonts w:hint="eastAsia" w:asciiTheme="minorEastAsia" w:hAnsiTheme="minorEastAsia" w:eastAsiaTheme="minorEastAsia"/>
          <w:sz w:val="36"/>
          <w:szCs w:val="36"/>
        </w:rPr>
        <w:t xml:space="preserve">项目单位 </w:t>
      </w:r>
      <w:r>
        <w:rPr>
          <w:rFonts w:hint="eastAsia" w:asciiTheme="minorEastAsia" w:hAnsiTheme="minorEastAsia" w:eastAsiaTheme="minorEastAsia"/>
          <w:sz w:val="36"/>
          <w:szCs w:val="36"/>
          <w:u w:val="single"/>
        </w:rPr>
        <w:t>北京市思想政治工作研究会</w:t>
      </w:r>
    </w:p>
    <w:p>
      <w:pPr>
        <w:spacing w:line="600" w:lineRule="auto"/>
        <w:ind w:left="365" w:leftChars="114" w:right="134" w:rightChars="42" w:firstLine="360" w:firstLineChars="100"/>
        <w:jc w:val="left"/>
        <w:rPr>
          <w:rFonts w:hint="default" w:asciiTheme="minorEastAsia" w:hAnsiTheme="minorEastAsia" w:eastAsiaTheme="minorEastAsia"/>
          <w:sz w:val="36"/>
          <w:szCs w:val="36"/>
          <w:u w:val="single"/>
          <w:lang w:val="en-US" w:eastAsia="zh-CN"/>
        </w:rPr>
      </w:pPr>
      <w:r>
        <w:rPr>
          <w:rFonts w:hint="eastAsia" w:asciiTheme="minorEastAsia" w:hAnsiTheme="minorEastAsia" w:eastAsiaTheme="minorEastAsia"/>
          <w:sz w:val="36"/>
          <w:szCs w:val="36"/>
        </w:rPr>
        <w:t xml:space="preserve">项目名称 </w:t>
      </w:r>
      <w:r>
        <w:rPr>
          <w:rFonts w:hint="eastAsia" w:asciiTheme="minorEastAsia" w:hAnsiTheme="minorEastAsia" w:eastAsiaTheme="minorEastAsia"/>
          <w:sz w:val="36"/>
          <w:szCs w:val="36"/>
          <w:u w:val="single"/>
          <w:lang w:val="en-US" w:eastAsia="zh-CN"/>
        </w:rPr>
        <w:t>举办全市思想政治工作示范培训</w:t>
      </w:r>
    </w:p>
    <w:p>
      <w:pPr>
        <w:ind w:firstLine="640"/>
        <w:rPr>
          <w:rFonts w:ascii="仿宋" w:hAnsi="仿宋" w:eastAsia="仿宋"/>
        </w:rPr>
      </w:pPr>
    </w:p>
    <w:p>
      <w:pPr>
        <w:ind w:firstLine="600"/>
        <w:rPr>
          <w:rFonts w:ascii="仿宋" w:hAnsi="仿宋" w:eastAsia="仿宋"/>
          <w:sz w:val="30"/>
          <w:u w:val="single"/>
        </w:rPr>
      </w:pPr>
    </w:p>
    <w:p>
      <w:pPr>
        <w:ind w:firstLine="602"/>
        <w:rPr>
          <w:rFonts w:ascii="仿宋" w:hAnsi="仿宋" w:eastAsia="仿宋"/>
          <w:b/>
          <w:bCs/>
          <w:sz w:val="30"/>
          <w:u w:val="single"/>
        </w:rPr>
      </w:pPr>
    </w:p>
    <w:p>
      <w:pPr>
        <w:ind w:firstLine="880"/>
        <w:jc w:val="center"/>
        <w:rPr>
          <w:rFonts w:ascii="黑体" w:hAnsi="黑体" w:eastAsia="黑体"/>
          <w:sz w:val="44"/>
          <w:szCs w:val="44"/>
        </w:rPr>
      </w:pPr>
      <w:r>
        <w:rPr>
          <w:rFonts w:hint="eastAsia" w:ascii="黑体" w:hAnsi="黑体" w:eastAsia="黑体"/>
          <w:sz w:val="44"/>
          <w:szCs w:val="44"/>
        </w:rPr>
        <w:t>北京市思想政治工作研究会</w:t>
      </w:r>
    </w:p>
    <w:p>
      <w:pPr>
        <w:ind w:firstLine="880"/>
        <w:jc w:val="center"/>
        <w:rPr>
          <w:rFonts w:ascii="黑体" w:hAnsi="黑体" w:eastAsia="黑体"/>
          <w:sz w:val="44"/>
          <w:szCs w:val="44"/>
        </w:rPr>
      </w:pPr>
      <w:r>
        <w:rPr>
          <w:rFonts w:hint="eastAsia" w:ascii="黑体" w:hAnsi="黑体" w:eastAsia="黑体"/>
          <w:sz w:val="44"/>
          <w:szCs w:val="44"/>
        </w:rPr>
        <w:t>二○二</w:t>
      </w:r>
      <w:r>
        <w:rPr>
          <w:rFonts w:hint="eastAsia" w:ascii="黑体" w:hAnsi="黑体" w:eastAsia="黑体"/>
          <w:sz w:val="44"/>
          <w:szCs w:val="44"/>
          <w:lang w:val="en-US" w:eastAsia="zh-CN"/>
        </w:rPr>
        <w:t>四</w:t>
      </w:r>
      <w:r>
        <w:rPr>
          <w:rFonts w:hint="eastAsia" w:ascii="黑体" w:hAnsi="黑体" w:eastAsia="黑体"/>
          <w:sz w:val="44"/>
          <w:szCs w:val="44"/>
        </w:rPr>
        <w:t>年五月</w:t>
      </w:r>
    </w:p>
    <w:p>
      <w:pPr>
        <w:ind w:firstLine="0" w:firstLineChars="0"/>
        <w:jc w:val="center"/>
        <w:rPr>
          <w:rFonts w:hint="eastAsia" w:asciiTheme="majorEastAsia" w:hAnsiTheme="majorEastAsia" w:eastAsiaTheme="majorEastAsia"/>
          <w:b/>
          <w:color w:val="000000"/>
          <w:sz w:val="32"/>
          <w:szCs w:val="32"/>
        </w:rPr>
      </w:pPr>
      <w:r>
        <w:rPr>
          <w:rFonts w:hint="eastAsia" w:eastAsia="仿宋_GB2312"/>
          <w:sz w:val="32"/>
          <w:szCs w:val="32"/>
          <w:lang w:eastAsia="zh-CN"/>
        </w:rPr>
        <w:drawing>
          <wp:anchor distT="0" distB="0" distL="114300" distR="114300" simplePos="0" relativeHeight="251661312" behindDoc="0" locked="0" layoutInCell="1" allowOverlap="1">
            <wp:simplePos x="0" y="0"/>
            <wp:positionH relativeFrom="column">
              <wp:posOffset>-24765</wp:posOffset>
            </wp:positionH>
            <wp:positionV relativeFrom="paragraph">
              <wp:posOffset>3976370</wp:posOffset>
            </wp:positionV>
            <wp:extent cx="5401945" cy="3982720"/>
            <wp:effectExtent l="0" t="0" r="8255" b="10160"/>
            <wp:wrapTopAndBottom/>
            <wp:docPr id="4" name="图片 4" descr="北京市国有企业思想政治工作示范培训班开班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北京市国有企业思想政治工作示范培训班开班式"/>
                    <pic:cNvPicPr>
                      <a:picLocks noChangeAspect="1"/>
                    </pic:cNvPicPr>
                  </pic:nvPicPr>
                  <pic:blipFill>
                    <a:blip r:embed="rId13"/>
                    <a:stretch>
                      <a:fillRect/>
                    </a:stretch>
                  </pic:blipFill>
                  <pic:spPr>
                    <a:xfrm>
                      <a:off x="0" y="0"/>
                      <a:ext cx="5401945" cy="3982720"/>
                    </a:xfrm>
                    <a:prstGeom prst="rect">
                      <a:avLst/>
                    </a:prstGeom>
                  </pic:spPr>
                </pic:pic>
              </a:graphicData>
            </a:graphic>
          </wp:anchor>
        </w:drawing>
      </w:r>
      <w:r>
        <w:rPr>
          <w:rFonts w:hint="eastAsia" w:asciiTheme="majorEastAsia" w:hAnsiTheme="majorEastAsia" w:eastAsiaTheme="majorEastAsia"/>
          <w:b/>
          <w:color w:val="000000"/>
          <w:sz w:val="32"/>
          <w:szCs w:val="32"/>
          <w:lang w:eastAsia="zh-CN"/>
        </w:rPr>
        <w:drawing>
          <wp:anchor distT="0" distB="0" distL="114300" distR="114300" simplePos="0" relativeHeight="251659264" behindDoc="0" locked="0" layoutInCell="1" allowOverlap="1">
            <wp:simplePos x="0" y="0"/>
            <wp:positionH relativeFrom="column">
              <wp:posOffset>29210</wp:posOffset>
            </wp:positionH>
            <wp:positionV relativeFrom="paragraph">
              <wp:posOffset>199390</wp:posOffset>
            </wp:positionV>
            <wp:extent cx="5318125" cy="3538855"/>
            <wp:effectExtent l="0" t="0" r="635" b="12065"/>
            <wp:wrapTopAndBottom/>
            <wp:docPr id="2" name="图片 2" descr="北京市社区思想政治工作示范培训班开班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北京市社区思想政治工作示范培训班开班式"/>
                    <pic:cNvPicPr>
                      <a:picLocks noChangeAspect="1"/>
                    </pic:cNvPicPr>
                  </pic:nvPicPr>
                  <pic:blipFill>
                    <a:blip r:embed="rId14"/>
                    <a:stretch>
                      <a:fillRect/>
                    </a:stretch>
                  </pic:blipFill>
                  <pic:spPr>
                    <a:xfrm>
                      <a:off x="0" y="0"/>
                      <a:ext cx="5318125" cy="3538855"/>
                    </a:xfrm>
                    <a:prstGeom prst="rect">
                      <a:avLst/>
                    </a:prstGeom>
                  </pic:spPr>
                </pic:pic>
              </a:graphicData>
            </a:graphic>
          </wp:anchor>
        </w:drawing>
      </w:r>
      <w:r>
        <w:rPr>
          <w:rFonts w:hint="eastAsia" w:asciiTheme="majorEastAsia" w:hAnsiTheme="majorEastAsia" w:eastAsiaTheme="majorEastAsia"/>
          <w:b/>
          <w:color w:val="000000"/>
          <w:sz w:val="32"/>
          <w:szCs w:val="32"/>
          <w:lang w:eastAsia="zh-CN"/>
        </w:rPr>
        <w:t>全市思想政治工作培训</w:t>
      </w:r>
    </w:p>
    <w:p>
      <w:pPr>
        <w:pStyle w:val="2"/>
        <w:rPr>
          <w:rFonts w:hint="eastAsia" w:asciiTheme="majorEastAsia" w:hAnsiTheme="majorEastAsia" w:eastAsiaTheme="majorEastAsia"/>
          <w:b/>
          <w:color w:val="000000"/>
          <w:sz w:val="44"/>
          <w:szCs w:val="44"/>
        </w:rPr>
      </w:pPr>
    </w:p>
    <w:p>
      <w:pPr>
        <w:ind w:left="0" w:leftChars="0" w:firstLine="0" w:firstLineChars="0"/>
        <w:jc w:val="center"/>
        <w:rPr>
          <w:rFonts w:hint="eastAsia"/>
        </w:rPr>
      </w:pPr>
      <w:r>
        <w:rPr>
          <w:rFonts w:hint="eastAsia" w:asciiTheme="majorEastAsia" w:hAnsiTheme="majorEastAsia" w:eastAsiaTheme="majorEastAsia"/>
          <w:b/>
          <w:color w:val="000000"/>
          <w:sz w:val="44"/>
          <w:szCs w:val="44"/>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248920</wp:posOffset>
            </wp:positionV>
            <wp:extent cx="5399405" cy="3601085"/>
            <wp:effectExtent l="0" t="0" r="10795" b="10795"/>
            <wp:wrapTopAndBottom/>
            <wp:docPr id="5" name="图片 5"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0"/>
                    <pic:cNvPicPr>
                      <a:picLocks noChangeAspect="1"/>
                    </pic:cNvPicPr>
                  </pic:nvPicPr>
                  <pic:blipFill>
                    <a:blip r:embed="rId15"/>
                    <a:stretch>
                      <a:fillRect/>
                    </a:stretch>
                  </pic:blipFill>
                  <pic:spPr>
                    <a:xfrm>
                      <a:off x="0" y="0"/>
                      <a:ext cx="5399405" cy="3601085"/>
                    </a:xfrm>
                    <a:prstGeom prst="rect">
                      <a:avLst/>
                    </a:prstGeom>
                  </pic:spPr>
                </pic:pic>
              </a:graphicData>
            </a:graphic>
          </wp:anchor>
        </w:drawing>
      </w:r>
      <w:r>
        <w:rPr>
          <w:rFonts w:hint="eastAsia"/>
          <w:lang w:eastAsia="zh-CN"/>
        </w:rPr>
        <w:t>枣园社区“明书记工作室”参观考察</w:t>
      </w:r>
    </w:p>
    <w:p>
      <w:pPr>
        <w:ind w:left="0" w:leftChars="0" w:firstLine="0" w:firstLineChars="0"/>
        <w:jc w:val="center"/>
        <w:rPr>
          <w:rFonts w:hint="eastAsia" w:eastAsia="仿宋_GB2312"/>
          <w:lang w:eastAsia="zh-CN"/>
        </w:rPr>
      </w:pPr>
      <w:r>
        <w:rPr>
          <w:rFonts w:hint="eastAsia"/>
          <w:lang w:eastAsia="zh-CN"/>
        </w:rPr>
        <w:t>“大兴国际机场”参观考察</w:t>
      </w:r>
    </w:p>
    <w:p>
      <w:pPr>
        <w:ind w:firstLine="0" w:firstLineChars="0"/>
        <w:jc w:val="center"/>
        <w:rPr>
          <w:rFonts w:hint="eastAsia"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lang w:eastAsia="zh-CN"/>
        </w:rPr>
        <w:drawing>
          <wp:anchor distT="0" distB="0" distL="114300" distR="114300" simplePos="0" relativeHeight="251660288" behindDoc="1" locked="0" layoutInCell="1" allowOverlap="1">
            <wp:simplePos x="0" y="0"/>
            <wp:positionH relativeFrom="column">
              <wp:posOffset>2540</wp:posOffset>
            </wp:positionH>
            <wp:positionV relativeFrom="page">
              <wp:posOffset>5439410</wp:posOffset>
            </wp:positionV>
            <wp:extent cx="5359400" cy="3268980"/>
            <wp:effectExtent l="0" t="0" r="5080" b="7620"/>
            <wp:wrapTight wrapText="bothSides">
              <wp:wrapPolygon>
                <wp:start x="0" y="0"/>
                <wp:lineTo x="0" y="21550"/>
                <wp:lineTo x="21559" y="21550"/>
                <wp:lineTo x="21559" y="0"/>
                <wp:lineTo x="0" y="0"/>
              </wp:wrapPolygon>
            </wp:wrapTight>
            <wp:docPr id="3" name="图片 3" descr="北京市社区思想政治工作示范培训班学员参观大兴机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北京市社区思想政治工作示范培训班学员参观大兴机场"/>
                    <pic:cNvPicPr>
                      <a:picLocks noChangeAspect="1"/>
                    </pic:cNvPicPr>
                  </pic:nvPicPr>
                  <pic:blipFill>
                    <a:blip r:embed="rId16"/>
                    <a:stretch>
                      <a:fillRect/>
                    </a:stretch>
                  </pic:blipFill>
                  <pic:spPr>
                    <a:xfrm>
                      <a:off x="0" y="0"/>
                      <a:ext cx="5359400" cy="3268980"/>
                    </a:xfrm>
                    <a:prstGeom prst="rect">
                      <a:avLst/>
                    </a:prstGeom>
                  </pic:spPr>
                </pic:pic>
              </a:graphicData>
            </a:graphic>
          </wp:anchor>
        </w:drawing>
      </w:r>
      <w:r>
        <w:rPr>
          <w:rFonts w:hint="eastAsia" w:asciiTheme="majorEastAsia" w:hAnsiTheme="majorEastAsia" w:eastAsiaTheme="majorEastAsia"/>
          <w:b/>
          <w:color w:val="000000"/>
          <w:sz w:val="44"/>
          <w:szCs w:val="44"/>
        </w:rPr>
        <w:br w:type="page"/>
      </w:r>
    </w:p>
    <w:p>
      <w:pPr>
        <w:ind w:firstLine="0" w:firstLineChars="0"/>
        <w:jc w:val="center"/>
        <w:rPr>
          <w:rFonts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目 录</w:t>
      </w:r>
    </w:p>
    <w:p>
      <w:pPr>
        <w:pStyle w:val="12"/>
        <w:snapToGrid w:val="0"/>
        <w:spacing w:before="0" w:after="0" w:line="600" w:lineRule="exact"/>
        <w:rPr>
          <w:rFonts w:ascii="仿宋_GB2312" w:cstheme="minorBidi"/>
          <w:b w:val="0"/>
          <w:bCs w:val="0"/>
          <w:caps w:val="0"/>
          <w:sz w:val="32"/>
          <w:szCs w:val="32"/>
        </w:rPr>
      </w:pPr>
      <w:r>
        <w:rPr>
          <w:rFonts w:hint="eastAsia" w:ascii="仿宋_GB2312" w:hAnsi="仿宋"/>
          <w:b w:val="0"/>
          <w:bCs w:val="0"/>
          <w:sz w:val="32"/>
          <w:szCs w:val="32"/>
        </w:rPr>
        <w:fldChar w:fldCharType="begin"/>
      </w:r>
      <w:r>
        <w:rPr>
          <w:rFonts w:hint="eastAsia" w:ascii="仿宋_GB2312" w:hAnsi="仿宋"/>
          <w:b w:val="0"/>
          <w:bCs w:val="0"/>
          <w:sz w:val="32"/>
          <w:szCs w:val="32"/>
        </w:rPr>
        <w:instrText xml:space="preserve"> TOC \o "1-3" \h \z \u </w:instrText>
      </w:r>
      <w:r>
        <w:rPr>
          <w:rFonts w:hint="eastAsia" w:ascii="仿宋_GB2312" w:hAnsi="仿宋"/>
          <w:b w:val="0"/>
          <w:bCs w:val="0"/>
          <w:sz w:val="32"/>
          <w:szCs w:val="32"/>
        </w:rPr>
        <w:fldChar w:fldCharType="separate"/>
      </w:r>
      <w:r>
        <w:fldChar w:fldCharType="begin"/>
      </w:r>
      <w:r>
        <w:instrText xml:space="preserve"> HYPERLINK \l "_Toc103415877" </w:instrText>
      </w:r>
      <w:r>
        <w:fldChar w:fldCharType="separate"/>
      </w:r>
      <w:r>
        <w:rPr>
          <w:rStyle w:val="20"/>
          <w:rFonts w:hint="eastAsia" w:ascii="仿宋_GB2312"/>
          <w:b w:val="0"/>
          <w:bCs w:val="0"/>
          <w:sz w:val="32"/>
          <w:szCs w:val="32"/>
        </w:rPr>
        <w:t>一、 基本情</w:t>
      </w:r>
      <w:r>
        <w:rPr>
          <w:rStyle w:val="20"/>
          <w:rFonts w:hint="eastAsia" w:ascii="仿宋_GB2312" w:hAnsi="微软雅黑" w:cs="微软雅黑"/>
          <w:b w:val="0"/>
          <w:bCs w:val="0"/>
          <w:sz w:val="32"/>
          <w:szCs w:val="32"/>
        </w:rPr>
        <w:t>况</w:t>
      </w:r>
      <w:r>
        <w:rPr>
          <w:rFonts w:hint="eastAsia" w:ascii="仿宋_GB2312"/>
          <w:b w:val="0"/>
          <w:bCs w:val="0"/>
          <w:sz w:val="32"/>
          <w:szCs w:val="32"/>
        </w:rPr>
        <w:tab/>
      </w:r>
      <w:r>
        <w:rPr>
          <w:rFonts w:hint="eastAsia" w:ascii="仿宋_GB2312"/>
          <w:b w:val="0"/>
          <w:bCs w:val="0"/>
          <w:sz w:val="32"/>
          <w:szCs w:val="32"/>
        </w:rPr>
        <w:fldChar w:fldCharType="begin"/>
      </w:r>
      <w:r>
        <w:rPr>
          <w:rFonts w:hint="eastAsia" w:ascii="仿宋_GB2312"/>
          <w:b w:val="0"/>
          <w:bCs w:val="0"/>
          <w:sz w:val="32"/>
          <w:szCs w:val="32"/>
        </w:rPr>
        <w:instrText xml:space="preserve"> PAGEREF _Toc103415877 \h </w:instrText>
      </w:r>
      <w:r>
        <w:rPr>
          <w:rFonts w:hint="eastAsia" w:ascii="仿宋_GB2312"/>
          <w:b w:val="0"/>
          <w:bCs w:val="0"/>
          <w:sz w:val="32"/>
          <w:szCs w:val="32"/>
        </w:rPr>
        <w:fldChar w:fldCharType="separate"/>
      </w:r>
      <w:r>
        <w:rPr>
          <w:rFonts w:ascii="仿宋_GB2312"/>
          <w:b w:val="0"/>
          <w:bCs w:val="0"/>
          <w:sz w:val="32"/>
          <w:szCs w:val="32"/>
        </w:rPr>
        <w:t>- 1 -</w:t>
      </w:r>
      <w:r>
        <w:rPr>
          <w:rFonts w:hint="eastAsia" w:ascii="仿宋_GB2312"/>
          <w:b w:val="0"/>
          <w:bCs w:val="0"/>
          <w:sz w:val="32"/>
          <w:szCs w:val="32"/>
        </w:rPr>
        <w:fldChar w:fldCharType="end"/>
      </w:r>
      <w:r>
        <w:rPr>
          <w:rFonts w:hint="eastAsia" w:ascii="仿宋_GB2312"/>
          <w:b w:val="0"/>
          <w:bCs w:val="0"/>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"_Toc103415878" </w:instrText>
      </w:r>
      <w:r>
        <w:fldChar w:fldCharType="separate"/>
      </w:r>
      <w:r>
        <w:rPr>
          <w:rStyle w:val="20"/>
          <w:rFonts w:hint="eastAsia" w:ascii="仿宋_GB2312"/>
          <w:sz w:val="32"/>
          <w:szCs w:val="32"/>
        </w:rPr>
        <w:t>（一） 项目概况</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_Toc103415878 \h </w:instrText>
      </w:r>
      <w:r>
        <w:rPr>
          <w:rFonts w:hint="eastAsia" w:ascii="仿宋_GB2312"/>
          <w:sz w:val="32"/>
          <w:szCs w:val="32"/>
        </w:rPr>
        <w:fldChar w:fldCharType="separate"/>
      </w:r>
      <w:r>
        <w:rPr>
          <w:rFonts w:ascii="仿宋_GB2312"/>
          <w:sz w:val="32"/>
          <w:szCs w:val="32"/>
        </w:rPr>
        <w:t>- 1 -</w:t>
      </w:r>
      <w:r>
        <w:rPr>
          <w:rFonts w:hint="eastAsia" w:ascii="仿宋_GB2312"/>
          <w:sz w:val="32"/>
          <w:szCs w:val="32"/>
        </w:rPr>
        <w:fldChar w:fldCharType="end"/>
      </w:r>
      <w:r>
        <w:rPr>
          <w:rFonts w:hint="eastAsia" w:ascii="仿宋_GB2312"/>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"_Toc103415879" </w:instrText>
      </w:r>
      <w:r>
        <w:fldChar w:fldCharType="separate"/>
      </w:r>
      <w:r>
        <w:rPr>
          <w:rStyle w:val="20"/>
          <w:rFonts w:hint="eastAsia" w:ascii="仿宋_GB2312"/>
          <w:sz w:val="32"/>
          <w:szCs w:val="32"/>
        </w:rPr>
        <w:t>（二） 项目绩效目标</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_Toc103415879 \h </w:instrText>
      </w:r>
      <w:r>
        <w:rPr>
          <w:rFonts w:hint="eastAsia" w:ascii="仿宋_GB2312"/>
          <w:sz w:val="32"/>
          <w:szCs w:val="32"/>
        </w:rPr>
        <w:fldChar w:fldCharType="separate"/>
      </w:r>
      <w:r>
        <w:rPr>
          <w:rFonts w:ascii="仿宋_GB2312"/>
          <w:sz w:val="32"/>
          <w:szCs w:val="32"/>
        </w:rPr>
        <w:t xml:space="preserve">- </w:t>
      </w:r>
      <w:r>
        <w:rPr>
          <w:rFonts w:hint="eastAsia" w:ascii="仿宋_GB2312"/>
          <w:sz w:val="32"/>
          <w:szCs w:val="32"/>
          <w:lang w:val="en-US" w:eastAsia="zh-CN"/>
        </w:rPr>
        <w:t>5</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2"/>
        <w:snapToGrid w:val="0"/>
        <w:spacing w:before="0" w:after="0" w:line="600" w:lineRule="exact"/>
        <w:rPr>
          <w:rFonts w:ascii="仿宋_GB2312" w:cstheme="minorBidi"/>
          <w:b w:val="0"/>
          <w:bCs w:val="0"/>
          <w:caps w:val="0"/>
          <w:sz w:val="32"/>
          <w:szCs w:val="32"/>
        </w:rPr>
      </w:pPr>
      <w:r>
        <w:fldChar w:fldCharType="begin"/>
      </w:r>
      <w:r>
        <w:instrText xml:space="preserve"> HYPERLINK \l "_Toc103415880" </w:instrText>
      </w:r>
      <w:r>
        <w:fldChar w:fldCharType="separate"/>
      </w:r>
      <w:r>
        <w:rPr>
          <w:rStyle w:val="20"/>
          <w:rFonts w:hint="eastAsia" w:ascii="仿宋_GB2312"/>
          <w:b w:val="0"/>
          <w:bCs w:val="0"/>
          <w:sz w:val="32"/>
          <w:szCs w:val="32"/>
        </w:rPr>
        <w:t>二、 绩效评价工作开展情况</w:t>
      </w:r>
      <w:r>
        <w:rPr>
          <w:rFonts w:hint="eastAsia" w:ascii="仿宋_GB2312"/>
          <w:b w:val="0"/>
          <w:bCs w:val="0"/>
          <w:sz w:val="32"/>
          <w:szCs w:val="32"/>
        </w:rPr>
        <w:tab/>
      </w:r>
      <w:r>
        <w:rPr>
          <w:rFonts w:hint="eastAsia" w:ascii="仿宋_GB2312"/>
          <w:b w:val="0"/>
          <w:bCs w:val="0"/>
          <w:sz w:val="32"/>
          <w:szCs w:val="32"/>
        </w:rPr>
        <w:fldChar w:fldCharType="begin"/>
      </w:r>
      <w:r>
        <w:rPr>
          <w:rFonts w:hint="eastAsia" w:ascii="仿宋_GB2312"/>
          <w:b w:val="0"/>
          <w:bCs w:val="0"/>
          <w:sz w:val="32"/>
          <w:szCs w:val="32"/>
        </w:rPr>
        <w:instrText xml:space="preserve"> PAGEREF _Toc103415880 \h </w:instrText>
      </w:r>
      <w:r>
        <w:rPr>
          <w:rFonts w:hint="eastAsia" w:ascii="仿宋_GB2312"/>
          <w:b w:val="0"/>
          <w:bCs w:val="0"/>
          <w:sz w:val="32"/>
          <w:szCs w:val="32"/>
        </w:rPr>
        <w:fldChar w:fldCharType="separate"/>
      </w:r>
      <w:r>
        <w:rPr>
          <w:rFonts w:ascii="仿宋_GB2312"/>
          <w:b w:val="0"/>
          <w:bCs w:val="0"/>
          <w:sz w:val="32"/>
          <w:szCs w:val="32"/>
        </w:rPr>
        <w:t xml:space="preserve">- </w:t>
      </w:r>
      <w:r>
        <w:rPr>
          <w:rFonts w:hint="eastAsia" w:ascii="仿宋_GB2312"/>
          <w:b w:val="0"/>
          <w:bCs w:val="0"/>
          <w:sz w:val="32"/>
          <w:szCs w:val="32"/>
          <w:lang w:val="en-US" w:eastAsia="zh-CN"/>
        </w:rPr>
        <w:t>6</w:t>
      </w:r>
      <w:r>
        <w:rPr>
          <w:rFonts w:ascii="仿宋_GB2312"/>
          <w:b w:val="0"/>
          <w:bCs w:val="0"/>
          <w:sz w:val="32"/>
          <w:szCs w:val="32"/>
        </w:rPr>
        <w:t xml:space="preserve"> -</w:t>
      </w:r>
      <w:r>
        <w:rPr>
          <w:rFonts w:hint="eastAsia" w:ascii="仿宋_GB2312"/>
          <w:b w:val="0"/>
          <w:bCs w:val="0"/>
          <w:sz w:val="32"/>
          <w:szCs w:val="32"/>
        </w:rPr>
        <w:fldChar w:fldCharType="end"/>
      </w:r>
      <w:r>
        <w:rPr>
          <w:rFonts w:hint="eastAsia" w:ascii="仿宋_GB2312"/>
          <w:b w:val="0"/>
          <w:bCs w:val="0"/>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"_Toc103415881" </w:instrText>
      </w:r>
      <w:r>
        <w:fldChar w:fldCharType="separate"/>
      </w:r>
      <w:r>
        <w:rPr>
          <w:rStyle w:val="20"/>
          <w:rFonts w:hint="eastAsia" w:ascii="仿宋_GB2312"/>
          <w:sz w:val="32"/>
          <w:szCs w:val="32"/>
        </w:rPr>
        <w:t>（一） 绩效评价目的、对象和范围</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_Toc103415881 \h </w:instrText>
      </w:r>
      <w:r>
        <w:rPr>
          <w:rFonts w:hint="eastAsia" w:ascii="仿宋_GB2312"/>
          <w:sz w:val="32"/>
          <w:szCs w:val="32"/>
        </w:rPr>
        <w:fldChar w:fldCharType="separate"/>
      </w:r>
      <w:r>
        <w:rPr>
          <w:rFonts w:ascii="仿宋_GB2312"/>
          <w:sz w:val="32"/>
          <w:szCs w:val="32"/>
        </w:rPr>
        <w:t xml:space="preserve">- </w:t>
      </w:r>
      <w:r>
        <w:rPr>
          <w:rFonts w:hint="eastAsia" w:ascii="仿宋_GB2312"/>
          <w:sz w:val="32"/>
          <w:szCs w:val="32"/>
          <w:lang w:val="en-US" w:eastAsia="zh-CN"/>
        </w:rPr>
        <w:t>6</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"_Toc103415882" </w:instrText>
      </w:r>
      <w:r>
        <w:fldChar w:fldCharType="separate"/>
      </w:r>
      <w:r>
        <w:rPr>
          <w:rStyle w:val="20"/>
          <w:rFonts w:hint="eastAsia" w:ascii="仿宋_GB2312"/>
          <w:sz w:val="32"/>
          <w:szCs w:val="32"/>
        </w:rPr>
        <w:t>（二） 绩效评价原则和方法、评价指标体系</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_Toc103415882 \h </w:instrText>
      </w:r>
      <w:r>
        <w:rPr>
          <w:rFonts w:hint="eastAsia" w:ascii="仿宋_GB2312"/>
          <w:sz w:val="32"/>
          <w:szCs w:val="32"/>
        </w:rPr>
        <w:fldChar w:fldCharType="separate"/>
      </w:r>
      <w:r>
        <w:rPr>
          <w:rFonts w:ascii="仿宋_GB2312"/>
          <w:sz w:val="32"/>
          <w:szCs w:val="32"/>
        </w:rPr>
        <w:t xml:space="preserve">- </w:t>
      </w:r>
      <w:r>
        <w:rPr>
          <w:rFonts w:hint="eastAsia" w:ascii="仿宋_GB2312"/>
          <w:sz w:val="32"/>
          <w:szCs w:val="32"/>
          <w:lang w:val="en-US" w:eastAsia="zh-CN"/>
        </w:rPr>
        <w:t>7</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"_Toc103415883" </w:instrText>
      </w:r>
      <w:r>
        <w:fldChar w:fldCharType="separate"/>
      </w:r>
      <w:r>
        <w:rPr>
          <w:rStyle w:val="20"/>
          <w:rFonts w:hint="eastAsia" w:ascii="仿宋_GB2312"/>
          <w:sz w:val="32"/>
          <w:szCs w:val="32"/>
        </w:rPr>
        <w:t>（三） 绩效评价工作过程</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_Toc103415883 \h </w:instrText>
      </w:r>
      <w:r>
        <w:rPr>
          <w:rFonts w:hint="eastAsia" w:ascii="仿宋_GB2312"/>
          <w:sz w:val="32"/>
          <w:szCs w:val="32"/>
        </w:rPr>
        <w:fldChar w:fldCharType="separate"/>
      </w:r>
      <w:r>
        <w:rPr>
          <w:rFonts w:ascii="仿宋_GB2312"/>
          <w:sz w:val="32"/>
          <w:szCs w:val="32"/>
        </w:rPr>
        <w:t xml:space="preserve">- </w:t>
      </w:r>
      <w:r>
        <w:rPr>
          <w:rFonts w:hint="eastAsia" w:ascii="仿宋_GB2312"/>
          <w:sz w:val="32"/>
          <w:szCs w:val="32"/>
          <w:lang w:val="en-US" w:eastAsia="zh-CN"/>
        </w:rPr>
        <w:t>8</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2"/>
        <w:snapToGrid w:val="0"/>
        <w:spacing w:before="0" w:after="0" w:line="600" w:lineRule="exact"/>
        <w:rPr>
          <w:rFonts w:ascii="仿宋_GB2312" w:cstheme="minorBidi"/>
          <w:b w:val="0"/>
          <w:bCs w:val="0"/>
          <w:caps w:val="0"/>
          <w:sz w:val="32"/>
          <w:szCs w:val="32"/>
        </w:rPr>
      </w:pPr>
      <w:r>
        <w:fldChar w:fldCharType="begin"/>
      </w:r>
      <w:r>
        <w:instrText xml:space="preserve"> HYPERLINK \l "_Toc103415884" </w:instrText>
      </w:r>
      <w:r>
        <w:fldChar w:fldCharType="separate"/>
      </w:r>
      <w:r>
        <w:rPr>
          <w:rStyle w:val="20"/>
          <w:rFonts w:hint="eastAsia" w:ascii="仿宋_GB2312"/>
          <w:b w:val="0"/>
          <w:bCs w:val="0"/>
          <w:sz w:val="32"/>
          <w:szCs w:val="32"/>
        </w:rPr>
        <w:t>三、 综合评价情况及评价结论</w:t>
      </w:r>
      <w:r>
        <w:rPr>
          <w:rFonts w:hint="eastAsia" w:ascii="仿宋_GB2312"/>
          <w:b w:val="0"/>
          <w:bCs w:val="0"/>
          <w:sz w:val="32"/>
          <w:szCs w:val="32"/>
        </w:rPr>
        <w:tab/>
      </w:r>
      <w:r>
        <w:rPr>
          <w:rFonts w:hint="eastAsia" w:ascii="仿宋_GB2312"/>
          <w:b w:val="0"/>
          <w:bCs w:val="0"/>
          <w:sz w:val="32"/>
          <w:szCs w:val="32"/>
        </w:rPr>
        <w:fldChar w:fldCharType="begin"/>
      </w:r>
      <w:r>
        <w:rPr>
          <w:rFonts w:hint="eastAsia" w:ascii="仿宋_GB2312"/>
          <w:b w:val="0"/>
          <w:bCs w:val="0"/>
          <w:sz w:val="32"/>
          <w:szCs w:val="32"/>
        </w:rPr>
        <w:instrText xml:space="preserve"> PAGEREF _Toc103415884 \h </w:instrText>
      </w:r>
      <w:r>
        <w:rPr>
          <w:rFonts w:hint="eastAsia" w:ascii="仿宋_GB2312"/>
          <w:b w:val="0"/>
          <w:bCs w:val="0"/>
          <w:sz w:val="32"/>
          <w:szCs w:val="32"/>
        </w:rPr>
        <w:fldChar w:fldCharType="separate"/>
      </w:r>
      <w:r>
        <w:rPr>
          <w:rFonts w:ascii="仿宋_GB2312"/>
          <w:b w:val="0"/>
          <w:bCs w:val="0"/>
          <w:sz w:val="32"/>
          <w:szCs w:val="32"/>
        </w:rPr>
        <w:t xml:space="preserve">- </w:t>
      </w:r>
      <w:r>
        <w:rPr>
          <w:rFonts w:hint="eastAsia" w:ascii="仿宋_GB2312"/>
          <w:b w:val="0"/>
          <w:bCs w:val="0"/>
          <w:sz w:val="32"/>
          <w:szCs w:val="32"/>
          <w:lang w:val="en-US" w:eastAsia="zh-CN"/>
        </w:rPr>
        <w:t>10</w:t>
      </w:r>
      <w:r>
        <w:rPr>
          <w:rFonts w:ascii="仿宋_GB2312"/>
          <w:b w:val="0"/>
          <w:bCs w:val="0"/>
          <w:sz w:val="32"/>
          <w:szCs w:val="32"/>
        </w:rPr>
        <w:t xml:space="preserve"> -</w:t>
      </w:r>
      <w:r>
        <w:rPr>
          <w:rFonts w:hint="eastAsia" w:ascii="仿宋_GB2312"/>
          <w:b w:val="0"/>
          <w:bCs w:val="0"/>
          <w:sz w:val="32"/>
          <w:szCs w:val="32"/>
        </w:rPr>
        <w:fldChar w:fldCharType="end"/>
      </w:r>
      <w:r>
        <w:rPr>
          <w:rFonts w:hint="eastAsia" w:ascii="仿宋_GB2312"/>
          <w:b w:val="0"/>
          <w:bCs w:val="0"/>
          <w:sz w:val="32"/>
          <w:szCs w:val="32"/>
        </w:rPr>
        <w:fldChar w:fldCharType="end"/>
      </w:r>
    </w:p>
    <w:p>
      <w:pPr>
        <w:pStyle w:val="12"/>
        <w:snapToGrid w:val="0"/>
        <w:spacing w:before="0" w:after="0" w:line="600" w:lineRule="exact"/>
        <w:rPr>
          <w:rFonts w:ascii="仿宋_GB2312" w:cstheme="minorBidi"/>
          <w:b w:val="0"/>
          <w:bCs w:val="0"/>
          <w:caps w:val="0"/>
          <w:sz w:val="32"/>
          <w:szCs w:val="32"/>
        </w:rPr>
      </w:pPr>
      <w:r>
        <w:fldChar w:fldCharType="begin"/>
      </w:r>
      <w:r>
        <w:instrText xml:space="preserve"> HYPERLINK \l "_Toc103415885" </w:instrText>
      </w:r>
      <w:r>
        <w:fldChar w:fldCharType="separate"/>
      </w:r>
      <w:r>
        <w:rPr>
          <w:rStyle w:val="20"/>
          <w:rFonts w:hint="eastAsia" w:ascii="仿宋_GB2312"/>
          <w:b w:val="0"/>
          <w:bCs w:val="0"/>
          <w:sz w:val="32"/>
          <w:szCs w:val="32"/>
        </w:rPr>
        <w:t>四、 绩效评价指标分析</w:t>
      </w:r>
      <w:r>
        <w:rPr>
          <w:rFonts w:hint="eastAsia" w:ascii="仿宋_GB2312"/>
          <w:b w:val="0"/>
          <w:bCs w:val="0"/>
          <w:sz w:val="32"/>
          <w:szCs w:val="32"/>
        </w:rPr>
        <w:tab/>
      </w:r>
      <w:r>
        <w:rPr>
          <w:rFonts w:hint="eastAsia" w:ascii="仿宋_GB2312"/>
          <w:b w:val="0"/>
          <w:bCs w:val="0"/>
          <w:sz w:val="32"/>
          <w:szCs w:val="32"/>
        </w:rPr>
        <w:fldChar w:fldCharType="begin"/>
      </w:r>
      <w:r>
        <w:rPr>
          <w:rFonts w:hint="eastAsia" w:ascii="仿宋_GB2312"/>
          <w:b w:val="0"/>
          <w:bCs w:val="0"/>
          <w:sz w:val="32"/>
          <w:szCs w:val="32"/>
        </w:rPr>
        <w:instrText xml:space="preserve"> PAGEREF _Toc103415885 \h </w:instrText>
      </w:r>
      <w:r>
        <w:rPr>
          <w:rFonts w:hint="eastAsia" w:ascii="仿宋_GB2312"/>
          <w:b w:val="0"/>
          <w:bCs w:val="0"/>
          <w:sz w:val="32"/>
          <w:szCs w:val="32"/>
        </w:rPr>
        <w:fldChar w:fldCharType="separate"/>
      </w:r>
      <w:r>
        <w:rPr>
          <w:rFonts w:ascii="仿宋_GB2312"/>
          <w:b w:val="0"/>
          <w:bCs w:val="0"/>
          <w:sz w:val="32"/>
          <w:szCs w:val="32"/>
        </w:rPr>
        <w:t xml:space="preserve">- </w:t>
      </w:r>
      <w:r>
        <w:rPr>
          <w:rFonts w:hint="eastAsia" w:ascii="仿宋_GB2312"/>
          <w:b w:val="0"/>
          <w:bCs w:val="0"/>
          <w:sz w:val="32"/>
          <w:szCs w:val="32"/>
          <w:lang w:val="en-US" w:eastAsia="zh-CN"/>
        </w:rPr>
        <w:t>10</w:t>
      </w:r>
      <w:r>
        <w:rPr>
          <w:rFonts w:ascii="仿宋_GB2312"/>
          <w:b w:val="0"/>
          <w:bCs w:val="0"/>
          <w:sz w:val="32"/>
          <w:szCs w:val="32"/>
        </w:rPr>
        <w:t xml:space="preserve"> -</w:t>
      </w:r>
      <w:r>
        <w:rPr>
          <w:rFonts w:hint="eastAsia" w:ascii="仿宋_GB2312"/>
          <w:b w:val="0"/>
          <w:bCs w:val="0"/>
          <w:sz w:val="32"/>
          <w:szCs w:val="32"/>
        </w:rPr>
        <w:fldChar w:fldCharType="end"/>
      </w:r>
      <w:r>
        <w:rPr>
          <w:rFonts w:hint="eastAsia" w:ascii="仿宋_GB2312"/>
          <w:b w:val="0"/>
          <w:bCs w:val="0"/>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"_Toc103415886" </w:instrText>
      </w:r>
      <w:r>
        <w:fldChar w:fldCharType="separate"/>
      </w:r>
      <w:r>
        <w:rPr>
          <w:rStyle w:val="20"/>
          <w:rFonts w:hint="eastAsia" w:ascii="仿宋_GB2312"/>
          <w:sz w:val="32"/>
          <w:szCs w:val="32"/>
        </w:rPr>
        <w:t>（一） 项目决策情况</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_Toc103415886 \h </w:instrText>
      </w:r>
      <w:r>
        <w:rPr>
          <w:rFonts w:hint="eastAsia" w:ascii="仿宋_GB2312"/>
          <w:sz w:val="32"/>
          <w:szCs w:val="32"/>
        </w:rPr>
        <w:fldChar w:fldCharType="separate"/>
      </w:r>
      <w:r>
        <w:rPr>
          <w:rFonts w:ascii="仿宋_GB2312"/>
          <w:sz w:val="32"/>
          <w:szCs w:val="32"/>
        </w:rPr>
        <w:t xml:space="preserve">- </w:t>
      </w:r>
      <w:r>
        <w:rPr>
          <w:rFonts w:hint="eastAsia" w:ascii="仿宋_GB2312"/>
          <w:sz w:val="32"/>
          <w:szCs w:val="32"/>
          <w:lang w:val="en-US" w:eastAsia="zh-CN"/>
        </w:rPr>
        <w:t>11</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"_Toc103415887" </w:instrText>
      </w:r>
      <w:r>
        <w:fldChar w:fldCharType="separate"/>
      </w:r>
      <w:r>
        <w:rPr>
          <w:rStyle w:val="20"/>
          <w:rFonts w:hint="eastAsia" w:ascii="仿宋_GB2312"/>
          <w:sz w:val="32"/>
          <w:szCs w:val="32"/>
        </w:rPr>
        <w:t>（二） 项目过程情况</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_Toc103415887 \h </w:instrText>
      </w:r>
      <w:r>
        <w:rPr>
          <w:rFonts w:hint="eastAsia" w:ascii="仿宋_GB2312"/>
          <w:sz w:val="32"/>
          <w:szCs w:val="32"/>
        </w:rPr>
        <w:fldChar w:fldCharType="separate"/>
      </w:r>
      <w:r>
        <w:rPr>
          <w:rFonts w:ascii="仿宋_GB2312"/>
          <w:sz w:val="32"/>
          <w:szCs w:val="32"/>
        </w:rPr>
        <w:t>- 1</w:t>
      </w:r>
      <w:r>
        <w:rPr>
          <w:rFonts w:hint="eastAsia" w:ascii="仿宋_GB2312"/>
          <w:sz w:val="32"/>
          <w:szCs w:val="32"/>
          <w:lang w:val="en-US" w:eastAsia="zh-CN"/>
        </w:rPr>
        <w:t>2</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"_Toc103415888" </w:instrText>
      </w:r>
      <w:r>
        <w:fldChar w:fldCharType="separate"/>
      </w:r>
      <w:r>
        <w:rPr>
          <w:rStyle w:val="20"/>
          <w:rFonts w:hint="eastAsia" w:ascii="仿宋_GB2312"/>
          <w:sz w:val="32"/>
          <w:szCs w:val="32"/>
        </w:rPr>
        <w:t>（三） 项目产出情况</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_Toc103415888 \h </w:instrText>
      </w:r>
      <w:r>
        <w:rPr>
          <w:rFonts w:hint="eastAsia" w:ascii="仿宋_GB2312"/>
          <w:sz w:val="32"/>
          <w:szCs w:val="32"/>
        </w:rPr>
        <w:fldChar w:fldCharType="separate"/>
      </w:r>
      <w:r>
        <w:rPr>
          <w:rFonts w:ascii="仿宋_GB2312"/>
          <w:sz w:val="32"/>
          <w:szCs w:val="32"/>
        </w:rPr>
        <w:t>- 1</w:t>
      </w:r>
      <w:r>
        <w:rPr>
          <w:rFonts w:hint="eastAsia" w:ascii="仿宋_GB2312"/>
          <w:sz w:val="32"/>
          <w:szCs w:val="32"/>
          <w:lang w:val="en-US" w:eastAsia="zh-CN"/>
        </w:rPr>
        <w:t>3</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"_Toc103415889" </w:instrText>
      </w:r>
      <w:r>
        <w:fldChar w:fldCharType="separate"/>
      </w:r>
      <w:r>
        <w:rPr>
          <w:rStyle w:val="20"/>
          <w:rFonts w:hint="eastAsia" w:ascii="仿宋_GB2312"/>
          <w:sz w:val="32"/>
          <w:szCs w:val="32"/>
        </w:rPr>
        <w:t>（四） 项目效益情况</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_Toc103415889 \h </w:instrText>
      </w:r>
      <w:r>
        <w:rPr>
          <w:rFonts w:hint="eastAsia" w:ascii="仿宋_GB2312"/>
          <w:sz w:val="32"/>
          <w:szCs w:val="32"/>
        </w:rPr>
        <w:fldChar w:fldCharType="separate"/>
      </w:r>
      <w:r>
        <w:rPr>
          <w:rFonts w:ascii="仿宋_GB2312"/>
          <w:sz w:val="32"/>
          <w:szCs w:val="32"/>
        </w:rPr>
        <w:t>- 1</w:t>
      </w:r>
      <w:r>
        <w:rPr>
          <w:rFonts w:hint="eastAsia" w:ascii="仿宋_GB2312"/>
          <w:sz w:val="32"/>
          <w:szCs w:val="32"/>
          <w:lang w:val="en-US" w:eastAsia="zh-CN"/>
        </w:rPr>
        <w:t>4</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2"/>
        <w:snapToGrid w:val="0"/>
        <w:spacing w:before="0" w:after="0" w:line="600" w:lineRule="exact"/>
        <w:rPr>
          <w:rFonts w:ascii="仿宋_GB2312" w:cstheme="minorBidi"/>
          <w:b w:val="0"/>
          <w:bCs w:val="0"/>
          <w:caps w:val="0"/>
          <w:sz w:val="32"/>
          <w:szCs w:val="32"/>
        </w:rPr>
      </w:pPr>
      <w:r>
        <w:fldChar w:fldCharType="begin"/>
      </w:r>
      <w:r>
        <w:instrText xml:space="preserve"> HYPERLINK \l "_Toc103415890" </w:instrText>
      </w:r>
      <w:r>
        <w:fldChar w:fldCharType="separate"/>
      </w:r>
      <w:r>
        <w:rPr>
          <w:rStyle w:val="20"/>
          <w:rFonts w:hint="eastAsia" w:ascii="仿宋_GB2312"/>
          <w:b w:val="0"/>
          <w:bCs w:val="0"/>
          <w:sz w:val="32"/>
          <w:szCs w:val="32"/>
        </w:rPr>
        <w:t>五、 主要经验及做法、存在的问题及原因分析</w:t>
      </w:r>
      <w:r>
        <w:rPr>
          <w:rFonts w:hint="eastAsia" w:ascii="仿宋_GB2312"/>
          <w:b w:val="0"/>
          <w:bCs w:val="0"/>
          <w:sz w:val="32"/>
          <w:szCs w:val="32"/>
        </w:rPr>
        <w:tab/>
      </w:r>
      <w:r>
        <w:rPr>
          <w:rFonts w:hint="eastAsia" w:ascii="仿宋_GB2312"/>
          <w:b w:val="0"/>
          <w:bCs w:val="0"/>
          <w:sz w:val="32"/>
          <w:szCs w:val="32"/>
        </w:rPr>
        <w:fldChar w:fldCharType="begin"/>
      </w:r>
      <w:r>
        <w:rPr>
          <w:rFonts w:hint="eastAsia" w:ascii="仿宋_GB2312"/>
          <w:b w:val="0"/>
          <w:bCs w:val="0"/>
          <w:sz w:val="32"/>
          <w:szCs w:val="32"/>
        </w:rPr>
        <w:instrText xml:space="preserve"> PAGEREF _Toc103415890 \h </w:instrText>
      </w:r>
      <w:r>
        <w:rPr>
          <w:rFonts w:hint="eastAsia" w:ascii="仿宋_GB2312"/>
          <w:b w:val="0"/>
          <w:bCs w:val="0"/>
          <w:sz w:val="32"/>
          <w:szCs w:val="32"/>
        </w:rPr>
        <w:fldChar w:fldCharType="separate"/>
      </w:r>
      <w:r>
        <w:rPr>
          <w:rFonts w:ascii="仿宋_GB2312"/>
          <w:b w:val="0"/>
          <w:bCs w:val="0"/>
          <w:sz w:val="32"/>
          <w:szCs w:val="32"/>
        </w:rPr>
        <w:t>- 1</w:t>
      </w:r>
      <w:r>
        <w:rPr>
          <w:rFonts w:hint="eastAsia" w:ascii="仿宋_GB2312"/>
          <w:b w:val="0"/>
          <w:bCs w:val="0"/>
          <w:sz w:val="32"/>
          <w:szCs w:val="32"/>
          <w:lang w:val="en-US" w:eastAsia="zh-CN"/>
        </w:rPr>
        <w:t>5</w:t>
      </w:r>
      <w:r>
        <w:rPr>
          <w:rFonts w:ascii="仿宋_GB2312"/>
          <w:b w:val="0"/>
          <w:bCs w:val="0"/>
          <w:sz w:val="32"/>
          <w:szCs w:val="32"/>
        </w:rPr>
        <w:t xml:space="preserve"> -</w:t>
      </w:r>
      <w:r>
        <w:rPr>
          <w:rFonts w:hint="eastAsia" w:ascii="仿宋_GB2312"/>
          <w:b w:val="0"/>
          <w:bCs w:val="0"/>
          <w:sz w:val="32"/>
          <w:szCs w:val="32"/>
        </w:rPr>
        <w:fldChar w:fldCharType="end"/>
      </w:r>
      <w:r>
        <w:rPr>
          <w:rFonts w:hint="eastAsia" w:ascii="仿宋_GB2312"/>
          <w:b w:val="0"/>
          <w:bCs w:val="0"/>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"_Toc103415891" </w:instrText>
      </w:r>
      <w:r>
        <w:fldChar w:fldCharType="separate"/>
      </w:r>
      <w:r>
        <w:rPr>
          <w:rStyle w:val="20"/>
          <w:rFonts w:hint="eastAsia" w:ascii="仿宋_GB2312"/>
          <w:sz w:val="32"/>
          <w:szCs w:val="32"/>
        </w:rPr>
        <w:t>（一） 主要经验及做法</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_Toc103415891 \h </w:instrText>
      </w:r>
      <w:r>
        <w:rPr>
          <w:rFonts w:hint="eastAsia" w:ascii="仿宋_GB2312"/>
          <w:sz w:val="32"/>
          <w:szCs w:val="32"/>
        </w:rPr>
        <w:fldChar w:fldCharType="separate"/>
      </w:r>
      <w:r>
        <w:rPr>
          <w:rFonts w:ascii="仿宋_GB2312"/>
          <w:sz w:val="32"/>
          <w:szCs w:val="32"/>
        </w:rPr>
        <w:t>- 1</w:t>
      </w:r>
      <w:r>
        <w:rPr>
          <w:rFonts w:hint="eastAsia" w:ascii="仿宋_GB2312"/>
          <w:sz w:val="32"/>
          <w:szCs w:val="32"/>
          <w:lang w:val="en-US" w:eastAsia="zh-CN"/>
        </w:rPr>
        <w:t>5</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5"/>
        <w:tabs>
          <w:tab w:val="right" w:leader="dot" w:pos="8494"/>
        </w:tabs>
        <w:snapToGrid w:val="0"/>
        <w:spacing w:line="600" w:lineRule="exact"/>
        <w:ind w:firstLine="124" w:firstLineChars="62"/>
        <w:rPr>
          <w:rFonts w:ascii="仿宋_GB2312" w:cstheme="minorBidi"/>
          <w:smallCaps w:val="0"/>
          <w:sz w:val="32"/>
          <w:szCs w:val="32"/>
        </w:rPr>
      </w:pPr>
      <w:r>
        <w:fldChar w:fldCharType="begin"/>
      </w:r>
      <w:r>
        <w:instrText xml:space="preserve"> HYPERLINK \l "_Toc103415892" </w:instrText>
      </w:r>
      <w:r>
        <w:fldChar w:fldCharType="separate"/>
      </w:r>
      <w:r>
        <w:rPr>
          <w:rStyle w:val="20"/>
          <w:rFonts w:hint="eastAsia" w:ascii="仿宋_GB2312"/>
          <w:sz w:val="32"/>
          <w:szCs w:val="32"/>
        </w:rPr>
        <w:t>（二） 存在的问题及原因分析</w:t>
      </w:r>
      <w:r>
        <w:rPr>
          <w:rFonts w:hint="eastAsia" w:ascii="仿宋_GB2312"/>
          <w:sz w:val="32"/>
          <w:szCs w:val="32"/>
        </w:rPr>
        <w:tab/>
      </w:r>
      <w:r>
        <w:rPr>
          <w:rFonts w:hint="eastAsia" w:ascii="仿宋_GB2312"/>
          <w:sz w:val="32"/>
          <w:szCs w:val="32"/>
        </w:rPr>
        <w:fldChar w:fldCharType="begin"/>
      </w:r>
      <w:r>
        <w:rPr>
          <w:rFonts w:hint="eastAsia" w:ascii="仿宋_GB2312"/>
          <w:sz w:val="32"/>
          <w:szCs w:val="32"/>
        </w:rPr>
        <w:instrText xml:space="preserve"> PAGEREF _Toc103415892 \h </w:instrText>
      </w:r>
      <w:r>
        <w:rPr>
          <w:rFonts w:hint="eastAsia" w:ascii="仿宋_GB2312"/>
          <w:sz w:val="32"/>
          <w:szCs w:val="32"/>
        </w:rPr>
        <w:fldChar w:fldCharType="separate"/>
      </w:r>
      <w:r>
        <w:rPr>
          <w:rFonts w:ascii="仿宋_GB2312"/>
          <w:sz w:val="32"/>
          <w:szCs w:val="32"/>
        </w:rPr>
        <w:t>- 1</w:t>
      </w:r>
      <w:r>
        <w:rPr>
          <w:rFonts w:hint="eastAsia" w:ascii="仿宋_GB2312"/>
          <w:sz w:val="32"/>
          <w:szCs w:val="32"/>
          <w:lang w:val="en-US" w:eastAsia="zh-CN"/>
        </w:rPr>
        <w:t>6</w:t>
      </w:r>
      <w:r>
        <w:rPr>
          <w:rFonts w:ascii="仿宋_GB2312"/>
          <w:sz w:val="32"/>
          <w:szCs w:val="32"/>
        </w:rPr>
        <w:t xml:space="preserve"> -</w:t>
      </w:r>
      <w:r>
        <w:rPr>
          <w:rFonts w:hint="eastAsia" w:ascii="仿宋_GB2312"/>
          <w:sz w:val="32"/>
          <w:szCs w:val="32"/>
        </w:rPr>
        <w:fldChar w:fldCharType="end"/>
      </w:r>
      <w:r>
        <w:rPr>
          <w:rFonts w:hint="eastAsia" w:ascii="仿宋_GB2312"/>
          <w:sz w:val="32"/>
          <w:szCs w:val="32"/>
        </w:rPr>
        <w:fldChar w:fldCharType="end"/>
      </w:r>
    </w:p>
    <w:p>
      <w:pPr>
        <w:pStyle w:val="12"/>
        <w:snapToGrid w:val="0"/>
        <w:spacing w:before="0" w:after="0" w:line="600" w:lineRule="exact"/>
        <w:rPr>
          <w:rFonts w:ascii="仿宋_GB2312" w:cstheme="minorBidi"/>
          <w:b w:val="0"/>
          <w:bCs w:val="0"/>
          <w:caps w:val="0"/>
          <w:sz w:val="32"/>
          <w:szCs w:val="32"/>
        </w:rPr>
      </w:pPr>
      <w:r>
        <w:fldChar w:fldCharType="begin"/>
      </w:r>
      <w:r>
        <w:instrText xml:space="preserve"> HYPERLINK \l "_Toc103415893" </w:instrText>
      </w:r>
      <w:r>
        <w:fldChar w:fldCharType="separate"/>
      </w:r>
      <w:r>
        <w:rPr>
          <w:rStyle w:val="20"/>
          <w:rFonts w:hint="eastAsia" w:ascii="仿宋_GB2312"/>
          <w:b w:val="0"/>
          <w:bCs w:val="0"/>
          <w:sz w:val="32"/>
          <w:szCs w:val="32"/>
        </w:rPr>
        <w:t>六、 有关建议</w:t>
      </w:r>
      <w:r>
        <w:rPr>
          <w:rFonts w:hint="eastAsia" w:ascii="仿宋_GB2312"/>
          <w:b w:val="0"/>
          <w:bCs w:val="0"/>
          <w:sz w:val="32"/>
          <w:szCs w:val="32"/>
        </w:rPr>
        <w:tab/>
      </w:r>
      <w:r>
        <w:rPr>
          <w:rFonts w:hint="eastAsia" w:ascii="仿宋_GB2312"/>
          <w:b w:val="0"/>
          <w:bCs w:val="0"/>
          <w:sz w:val="32"/>
          <w:szCs w:val="32"/>
        </w:rPr>
        <w:fldChar w:fldCharType="begin"/>
      </w:r>
      <w:r>
        <w:rPr>
          <w:rFonts w:hint="eastAsia" w:ascii="仿宋_GB2312"/>
          <w:b w:val="0"/>
          <w:bCs w:val="0"/>
          <w:sz w:val="32"/>
          <w:szCs w:val="32"/>
        </w:rPr>
        <w:instrText xml:space="preserve"> PAGEREF _Toc103415893 \h </w:instrText>
      </w:r>
      <w:r>
        <w:rPr>
          <w:rFonts w:hint="eastAsia" w:ascii="仿宋_GB2312"/>
          <w:b w:val="0"/>
          <w:bCs w:val="0"/>
          <w:sz w:val="32"/>
          <w:szCs w:val="32"/>
        </w:rPr>
        <w:fldChar w:fldCharType="separate"/>
      </w:r>
      <w:r>
        <w:rPr>
          <w:rFonts w:ascii="仿宋_GB2312"/>
          <w:b w:val="0"/>
          <w:bCs w:val="0"/>
          <w:sz w:val="32"/>
          <w:szCs w:val="32"/>
        </w:rPr>
        <w:t>- 1</w:t>
      </w:r>
      <w:r>
        <w:rPr>
          <w:rFonts w:hint="eastAsia" w:ascii="仿宋_GB2312"/>
          <w:b w:val="0"/>
          <w:bCs w:val="0"/>
          <w:sz w:val="32"/>
          <w:szCs w:val="32"/>
          <w:lang w:val="en-US" w:eastAsia="zh-CN"/>
        </w:rPr>
        <w:t>7</w:t>
      </w:r>
      <w:r>
        <w:rPr>
          <w:rFonts w:ascii="仿宋_GB2312"/>
          <w:b w:val="0"/>
          <w:bCs w:val="0"/>
          <w:sz w:val="32"/>
          <w:szCs w:val="32"/>
        </w:rPr>
        <w:t xml:space="preserve"> -</w:t>
      </w:r>
      <w:r>
        <w:rPr>
          <w:rFonts w:hint="eastAsia" w:ascii="仿宋_GB2312"/>
          <w:b w:val="0"/>
          <w:bCs w:val="0"/>
          <w:sz w:val="32"/>
          <w:szCs w:val="32"/>
        </w:rPr>
        <w:fldChar w:fldCharType="end"/>
      </w:r>
      <w:r>
        <w:rPr>
          <w:rFonts w:hint="eastAsia" w:ascii="仿宋_GB2312"/>
          <w:b w:val="0"/>
          <w:bCs w:val="0"/>
          <w:sz w:val="32"/>
          <w:szCs w:val="32"/>
        </w:rPr>
        <w:fldChar w:fldCharType="end"/>
      </w:r>
    </w:p>
    <w:p>
      <w:pPr>
        <w:pStyle w:val="12"/>
        <w:snapToGrid w:val="0"/>
        <w:spacing w:before="0" w:after="0" w:line="600" w:lineRule="exact"/>
        <w:rPr>
          <w:rFonts w:ascii="仿宋_GB2312" w:cstheme="minorBidi"/>
          <w:b w:val="0"/>
          <w:bCs w:val="0"/>
          <w:caps w:val="0"/>
          <w:sz w:val="32"/>
          <w:szCs w:val="32"/>
        </w:rPr>
      </w:pPr>
      <w:r>
        <w:fldChar w:fldCharType="begin"/>
      </w:r>
      <w:r>
        <w:instrText xml:space="preserve"> HYPERLINK \l "_Toc103415894" </w:instrText>
      </w:r>
      <w:r>
        <w:fldChar w:fldCharType="separate"/>
      </w:r>
      <w:r>
        <w:rPr>
          <w:rStyle w:val="20"/>
          <w:rFonts w:hint="eastAsia" w:ascii="仿宋_GB2312"/>
          <w:b w:val="0"/>
          <w:bCs w:val="0"/>
          <w:sz w:val="32"/>
          <w:szCs w:val="32"/>
        </w:rPr>
        <w:t>七、 其他需要说明的问题</w:t>
      </w:r>
      <w:r>
        <w:rPr>
          <w:rFonts w:hint="eastAsia" w:ascii="仿宋_GB2312"/>
          <w:b w:val="0"/>
          <w:bCs w:val="0"/>
          <w:sz w:val="32"/>
          <w:szCs w:val="32"/>
        </w:rPr>
        <w:tab/>
      </w:r>
      <w:r>
        <w:rPr>
          <w:rFonts w:hint="eastAsia" w:ascii="仿宋_GB2312"/>
          <w:b w:val="0"/>
          <w:bCs w:val="0"/>
          <w:sz w:val="32"/>
          <w:szCs w:val="32"/>
        </w:rPr>
        <w:fldChar w:fldCharType="begin"/>
      </w:r>
      <w:r>
        <w:rPr>
          <w:rFonts w:hint="eastAsia" w:ascii="仿宋_GB2312"/>
          <w:b w:val="0"/>
          <w:bCs w:val="0"/>
          <w:sz w:val="32"/>
          <w:szCs w:val="32"/>
        </w:rPr>
        <w:instrText xml:space="preserve"> PAGEREF _Toc103415894 \h </w:instrText>
      </w:r>
      <w:r>
        <w:rPr>
          <w:rFonts w:hint="eastAsia" w:ascii="仿宋_GB2312"/>
          <w:b w:val="0"/>
          <w:bCs w:val="0"/>
          <w:sz w:val="32"/>
          <w:szCs w:val="32"/>
        </w:rPr>
        <w:fldChar w:fldCharType="separate"/>
      </w:r>
      <w:r>
        <w:rPr>
          <w:rFonts w:ascii="仿宋_GB2312"/>
          <w:b w:val="0"/>
          <w:bCs w:val="0"/>
          <w:sz w:val="32"/>
          <w:szCs w:val="32"/>
        </w:rPr>
        <w:t>- 1</w:t>
      </w:r>
      <w:r>
        <w:rPr>
          <w:rFonts w:hint="eastAsia" w:ascii="仿宋_GB2312"/>
          <w:b w:val="0"/>
          <w:bCs w:val="0"/>
          <w:sz w:val="32"/>
          <w:szCs w:val="32"/>
          <w:lang w:val="en-US" w:eastAsia="zh-CN"/>
        </w:rPr>
        <w:t>7</w:t>
      </w:r>
      <w:r>
        <w:rPr>
          <w:rFonts w:ascii="仿宋_GB2312"/>
          <w:b w:val="0"/>
          <w:bCs w:val="0"/>
          <w:sz w:val="32"/>
          <w:szCs w:val="32"/>
        </w:rPr>
        <w:t xml:space="preserve"> -</w:t>
      </w:r>
      <w:r>
        <w:rPr>
          <w:rFonts w:hint="eastAsia" w:ascii="仿宋_GB2312"/>
          <w:b w:val="0"/>
          <w:bCs w:val="0"/>
          <w:sz w:val="32"/>
          <w:szCs w:val="32"/>
        </w:rPr>
        <w:fldChar w:fldCharType="end"/>
      </w:r>
      <w:r>
        <w:rPr>
          <w:rFonts w:hint="eastAsia" w:ascii="仿宋_GB2312"/>
          <w:b w:val="0"/>
          <w:bCs w:val="0"/>
          <w:sz w:val="32"/>
          <w:szCs w:val="32"/>
        </w:rPr>
        <w:fldChar w:fldCharType="end"/>
      </w:r>
    </w:p>
    <w:p>
      <w:pPr>
        <w:pStyle w:val="12"/>
        <w:snapToGrid w:val="0"/>
        <w:spacing w:before="0" w:after="0" w:line="600" w:lineRule="exact"/>
        <w:rPr>
          <w:rFonts w:ascii="仿宋_GB2312" w:hAnsi="仿宋"/>
          <w:b w:val="0"/>
          <w:bCs w:val="0"/>
          <w:color w:val="000000"/>
          <w:sz w:val="32"/>
          <w:szCs w:val="32"/>
        </w:rPr>
      </w:pPr>
      <w:r>
        <w:fldChar w:fldCharType="begin"/>
      </w:r>
      <w:r>
        <w:instrText xml:space="preserve"> HYPERLINK \l "_Toc103415895" </w:instrText>
      </w:r>
      <w:r>
        <w:fldChar w:fldCharType="separate"/>
      </w:r>
      <w:r>
        <w:rPr>
          <w:rStyle w:val="20"/>
          <w:rFonts w:hint="eastAsia" w:ascii="仿宋_GB2312"/>
          <w:b w:val="0"/>
          <w:bCs w:val="0"/>
          <w:sz w:val="32"/>
          <w:szCs w:val="32"/>
        </w:rPr>
        <w:t>八、 附件</w:t>
      </w:r>
      <w:r>
        <w:rPr>
          <w:rFonts w:hint="eastAsia" w:ascii="仿宋_GB2312"/>
          <w:b w:val="0"/>
          <w:bCs w:val="0"/>
          <w:sz w:val="32"/>
          <w:szCs w:val="32"/>
        </w:rPr>
        <w:tab/>
      </w:r>
      <w:r>
        <w:rPr>
          <w:rFonts w:hint="eastAsia" w:ascii="仿宋_GB2312"/>
          <w:b w:val="0"/>
          <w:bCs w:val="0"/>
          <w:sz w:val="32"/>
          <w:szCs w:val="32"/>
        </w:rPr>
        <w:fldChar w:fldCharType="begin"/>
      </w:r>
      <w:r>
        <w:rPr>
          <w:rFonts w:hint="eastAsia" w:ascii="仿宋_GB2312"/>
          <w:b w:val="0"/>
          <w:bCs w:val="0"/>
          <w:sz w:val="32"/>
          <w:szCs w:val="32"/>
        </w:rPr>
        <w:instrText xml:space="preserve"> PAGEREF _Toc103415895 \h </w:instrText>
      </w:r>
      <w:r>
        <w:rPr>
          <w:rFonts w:hint="eastAsia" w:ascii="仿宋_GB2312"/>
          <w:b w:val="0"/>
          <w:bCs w:val="0"/>
          <w:sz w:val="32"/>
          <w:szCs w:val="32"/>
        </w:rPr>
        <w:fldChar w:fldCharType="separate"/>
      </w:r>
      <w:r>
        <w:rPr>
          <w:rFonts w:ascii="仿宋_GB2312"/>
          <w:b w:val="0"/>
          <w:bCs w:val="0"/>
          <w:sz w:val="32"/>
          <w:szCs w:val="32"/>
        </w:rPr>
        <w:t>- 1</w:t>
      </w:r>
      <w:r>
        <w:rPr>
          <w:rFonts w:hint="eastAsia" w:ascii="仿宋_GB2312"/>
          <w:b w:val="0"/>
          <w:bCs w:val="0"/>
          <w:sz w:val="32"/>
          <w:szCs w:val="32"/>
          <w:lang w:val="en-US" w:eastAsia="zh-CN"/>
        </w:rPr>
        <w:t>7</w:t>
      </w:r>
      <w:r>
        <w:rPr>
          <w:rFonts w:ascii="仿宋_GB2312"/>
          <w:b w:val="0"/>
          <w:bCs w:val="0"/>
          <w:sz w:val="32"/>
          <w:szCs w:val="32"/>
        </w:rPr>
        <w:t xml:space="preserve"> -</w:t>
      </w:r>
      <w:r>
        <w:rPr>
          <w:rFonts w:hint="eastAsia" w:ascii="仿宋_GB2312"/>
          <w:b w:val="0"/>
          <w:bCs w:val="0"/>
          <w:sz w:val="32"/>
          <w:szCs w:val="32"/>
        </w:rPr>
        <w:fldChar w:fldCharType="end"/>
      </w:r>
      <w:r>
        <w:rPr>
          <w:rFonts w:hint="eastAsia" w:ascii="仿宋_GB2312"/>
          <w:b w:val="0"/>
          <w:bCs w:val="0"/>
          <w:sz w:val="32"/>
          <w:szCs w:val="32"/>
        </w:rPr>
        <w:fldChar w:fldCharType="end"/>
      </w:r>
      <w:r>
        <w:rPr>
          <w:rFonts w:hint="eastAsia" w:ascii="仿宋_GB2312" w:hAnsi="仿宋"/>
          <w:b w:val="0"/>
          <w:bCs w:val="0"/>
          <w:color w:val="000000"/>
          <w:sz w:val="32"/>
          <w:szCs w:val="32"/>
        </w:rPr>
        <w:fldChar w:fldCharType="end"/>
      </w:r>
    </w:p>
    <w:p>
      <w:pPr>
        <w:ind w:firstLine="800"/>
        <w:jc w:val="center"/>
        <w:rPr>
          <w:rFonts w:ascii="仿宋" w:hAnsi="仿宋" w:eastAsia="仿宋"/>
          <w:bCs/>
          <w:color w:val="000000"/>
          <w:sz w:val="40"/>
          <w:szCs w:val="40"/>
        </w:rPr>
      </w:pPr>
    </w:p>
    <w:p>
      <w:pPr>
        <w:ind w:firstLine="800"/>
        <w:jc w:val="center"/>
        <w:rPr>
          <w:rFonts w:ascii="仿宋" w:hAnsi="仿宋" w:eastAsia="仿宋"/>
          <w:bCs/>
          <w:color w:val="000000"/>
          <w:sz w:val="40"/>
          <w:szCs w:val="40"/>
        </w:rPr>
        <w:sectPr>
          <w:pgSz w:w="11906" w:h="16838"/>
          <w:pgMar w:top="1474" w:right="1701" w:bottom="1418" w:left="1701" w:header="851" w:footer="992" w:gutter="0"/>
          <w:pgNumType w:fmt="numberInDash" w:start="1"/>
          <w:cols w:space="425" w:num="1"/>
          <w:docGrid w:type="lines" w:linePitch="312" w:charSpace="0"/>
        </w:sectPr>
      </w:pPr>
    </w:p>
    <w:p>
      <w:pPr>
        <w:spacing w:before="0" w:after="0"/>
        <w:ind w:firstLine="0" w:firstLineChars="0"/>
        <w:jc w:val="center"/>
        <w:rPr>
          <w:rFonts w:ascii="方正小标宋简体" w:eastAsia="方正小标宋简体"/>
          <w:sz w:val="36"/>
          <w:szCs w:val="36"/>
        </w:rPr>
      </w:pPr>
      <w:r>
        <w:rPr>
          <w:rFonts w:hint="eastAsia" w:ascii="方正小标宋简体" w:eastAsia="方正小标宋简体"/>
          <w:sz w:val="36"/>
          <w:szCs w:val="36"/>
        </w:rPr>
        <w:t>北京市思想政治工作研究会</w:t>
      </w:r>
    </w:p>
    <w:p>
      <w:pPr>
        <w:spacing w:before="0" w:after="0"/>
        <w:ind w:firstLine="0" w:firstLineChars="0"/>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举办全市思想政治工作示范培训</w:t>
      </w:r>
    </w:p>
    <w:p>
      <w:pPr>
        <w:spacing w:before="0" w:after="0"/>
        <w:ind w:firstLine="0" w:firstLineChars="0"/>
        <w:jc w:val="center"/>
        <w:rPr>
          <w:rFonts w:ascii="方正小标宋简体" w:eastAsia="方正小标宋简体"/>
          <w:sz w:val="36"/>
          <w:szCs w:val="36"/>
        </w:rPr>
      </w:pPr>
      <w:r>
        <w:rPr>
          <w:rFonts w:hint="eastAsia" w:ascii="方正小标宋简体" w:eastAsia="方正小标宋简体"/>
          <w:sz w:val="36"/>
          <w:szCs w:val="36"/>
        </w:rPr>
        <w:t>项目支出绩效评价报告</w:t>
      </w:r>
    </w:p>
    <w:p>
      <w:pPr>
        <w:ind w:firstLine="640"/>
        <w:rPr>
          <w:rFonts w:ascii="仿宋" w:hAnsi="仿宋" w:eastAsia="仿宋"/>
        </w:rPr>
      </w:pPr>
    </w:p>
    <w:p>
      <w:pPr>
        <w:pStyle w:val="4"/>
        <w:ind w:firstLine="640"/>
        <w:rPr>
          <w:rFonts w:hint="eastAsia" w:eastAsia="仿宋_GB2312" w:cs="仿宋_GB2312"/>
          <w:sz w:val="32"/>
          <w:szCs w:val="32"/>
          <w:lang w:val="en-US" w:eastAsia="zh-CN"/>
        </w:rPr>
      </w:pPr>
      <w:r>
        <w:rPr>
          <w:rFonts w:hint="eastAsia" w:ascii="仿宋" w:hAnsi="仿宋" w:eastAsia="仿宋"/>
          <w:sz w:val="32"/>
          <w:szCs w:val="32"/>
        </w:rPr>
        <w:t>为进一步推动学习贯彻</w:t>
      </w:r>
      <w:r>
        <w:rPr>
          <w:rFonts w:hint="eastAsia" w:ascii="仿宋" w:hAnsi="仿宋" w:eastAsia="仿宋" w:cs="仿宋_GB2312"/>
          <w:color w:val="000000"/>
          <w:sz w:val="32"/>
          <w:szCs w:val="32"/>
        </w:rPr>
        <w:t>党的二十大精神和</w:t>
      </w:r>
      <w:r>
        <w:rPr>
          <w:rFonts w:ascii="仿宋" w:hAnsi="仿宋" w:eastAsia="仿宋"/>
          <w:sz w:val="32"/>
          <w:szCs w:val="32"/>
        </w:rPr>
        <w:t>习近平新时代中国特色社会主义思想</w:t>
      </w:r>
      <w:r>
        <w:rPr>
          <w:rFonts w:hint="eastAsia" w:ascii="仿宋" w:hAnsi="仿宋" w:eastAsia="仿宋"/>
          <w:sz w:val="32"/>
          <w:szCs w:val="32"/>
        </w:rPr>
        <w:t>，贯彻落实习近平总书记关于思想政治工作的重要论述和重要指示批示精神，宣传解读中共中央、国务院《关于新时代加强和改进思想政治工作的意见》和《北京市关于新时代加强和改进思想政治工作的实施方案》，学习贯彻落实北京市第十三次党代会精神，</w:t>
      </w:r>
      <w:r>
        <w:rPr>
          <w:rFonts w:ascii="仿宋" w:hAnsi="仿宋" w:eastAsia="仿宋"/>
          <w:sz w:val="32"/>
          <w:szCs w:val="32"/>
        </w:rPr>
        <w:t>促进首都思想政治工作</w:t>
      </w:r>
      <w:r>
        <w:rPr>
          <w:rFonts w:hint="eastAsia" w:ascii="仿宋" w:hAnsi="仿宋" w:eastAsia="仿宋"/>
          <w:sz w:val="32"/>
          <w:szCs w:val="32"/>
        </w:rPr>
        <w:t>高质量</w:t>
      </w:r>
      <w:r>
        <w:rPr>
          <w:rFonts w:ascii="仿宋" w:hAnsi="仿宋" w:eastAsia="仿宋"/>
          <w:sz w:val="32"/>
          <w:szCs w:val="32"/>
        </w:rPr>
        <w:t>发展，</w:t>
      </w:r>
      <w:r>
        <w:rPr>
          <w:rFonts w:hint="eastAsia" w:eastAsia="仿宋_GB2312" w:cs="仿宋_GB2312"/>
          <w:sz w:val="32"/>
          <w:szCs w:val="32"/>
          <w:lang w:val="en-US" w:eastAsia="zh-CN"/>
        </w:rPr>
        <w:t>市政研会在市委宣传部的领导下，积极回应基层对开展思想政治工作专题培训的迫切要求，策划组织全市思想政治工作示范培训班。</w:t>
      </w:r>
    </w:p>
    <w:p>
      <w:pPr>
        <w:pStyle w:val="4"/>
        <w:ind w:firstLine="640"/>
      </w:pPr>
      <w:r>
        <w:rPr>
          <w:rFonts w:hint="eastAsia"/>
        </w:rPr>
        <w:t>该项目综合评价得分</w:t>
      </w:r>
      <w:r>
        <w:rPr>
          <w:rFonts w:hint="eastAsia"/>
          <w:highlight w:val="none"/>
          <w:lang w:val="en-US" w:eastAsia="zh-CN"/>
        </w:rPr>
        <w:t>92.96</w:t>
      </w:r>
      <w:r>
        <w:rPr>
          <w:rFonts w:hint="eastAsia"/>
        </w:rPr>
        <w:t>分，评价等级为“优秀”。本次</w:t>
      </w:r>
      <w:r>
        <w:t>绩效评价</w:t>
      </w:r>
      <w:r>
        <w:rPr>
          <w:rFonts w:hint="eastAsia"/>
        </w:rPr>
        <w:t>情况</w:t>
      </w:r>
      <w:r>
        <w:t>报告如下：</w:t>
      </w:r>
    </w:p>
    <w:p>
      <w:pPr>
        <w:pStyle w:val="3"/>
        <w:ind w:firstLine="643"/>
      </w:pPr>
      <w:bookmarkStart w:id="5" w:name="_Toc103415877"/>
      <w:r>
        <w:t>基本情</w:t>
      </w:r>
      <w:r>
        <w:rPr>
          <w:rFonts w:hint="eastAsia" w:ascii="微软雅黑" w:hAnsi="微软雅黑" w:eastAsia="微软雅黑" w:cs="微软雅黑"/>
        </w:rPr>
        <w:t>况</w:t>
      </w:r>
      <w:bookmarkEnd w:id="5"/>
      <w:bookmarkStart w:id="31" w:name="_GoBack"/>
      <w:bookmarkEnd w:id="31"/>
    </w:p>
    <w:p>
      <w:pPr>
        <w:pStyle w:val="5"/>
        <w:ind w:left="0" w:leftChars="0" w:firstLine="640" w:firstLineChars="0"/>
      </w:pPr>
      <w:bookmarkStart w:id="6" w:name="_Toc103415878"/>
      <w:r>
        <w:t>项目概况</w:t>
      </w:r>
      <w:bookmarkEnd w:id="6"/>
    </w:p>
    <w:p>
      <w:pPr>
        <w:pStyle w:val="4"/>
        <w:ind w:firstLine="640"/>
      </w:pPr>
      <w:r>
        <w:rPr>
          <w:rFonts w:hint="eastAsia"/>
        </w:rPr>
        <w:t>1、项目立项背景</w:t>
      </w:r>
    </w:p>
    <w:p>
      <w:pPr>
        <w:pStyle w:val="2"/>
        <w:keepNext w:val="0"/>
        <w:keepLines w:val="0"/>
        <w:pageBreakBefore w:val="0"/>
        <w:widowControl w:val="0"/>
        <w:kinsoku/>
        <w:wordWrap/>
        <w:overflowPunct/>
        <w:topLinePunct w:val="0"/>
        <w:autoSpaceDE/>
        <w:bidi w:val="0"/>
        <w:adjustRightInd/>
        <w:snapToGrid/>
        <w:spacing w:line="560" w:lineRule="exact"/>
        <w:ind w:firstLine="660"/>
        <w:textAlignment w:val="auto"/>
        <w:rPr>
          <w:rFonts w:hint="default"/>
          <w:lang w:val="en-US"/>
        </w:rPr>
      </w:pPr>
      <w:r>
        <w:rPr>
          <w:rFonts w:hint="eastAsia" w:cs="仿宋_GB2312"/>
          <w:sz w:val="32"/>
          <w:szCs w:val="32"/>
          <w:lang w:val="en-US" w:eastAsia="zh-CN"/>
        </w:rPr>
        <w:t>开展</w:t>
      </w:r>
      <w:r>
        <w:rPr>
          <w:rFonts w:hint="eastAsia" w:ascii="仿宋_GB2312" w:hAnsi="仿宋_GB2312" w:cs="仿宋_GB2312"/>
          <w:sz w:val="32"/>
          <w:szCs w:val="32"/>
          <w:lang w:val="en-US" w:eastAsia="zh-CN"/>
        </w:rPr>
        <w:t>全市思想政治工作的培训和辅导是</w:t>
      </w:r>
      <w:r>
        <w:rPr>
          <w:rFonts w:hint="eastAsia" w:eastAsia="仿宋_GB2312" w:cs="仿宋_GB2312"/>
          <w:sz w:val="32"/>
          <w:szCs w:val="32"/>
          <w:lang w:val="en-US" w:eastAsia="zh-CN"/>
        </w:rPr>
        <w:t>市政研会</w:t>
      </w:r>
      <w:r>
        <w:rPr>
          <w:rFonts w:hint="eastAsia" w:cs="仿宋_GB2312"/>
          <w:sz w:val="32"/>
          <w:szCs w:val="32"/>
          <w:lang w:val="en-US" w:eastAsia="zh-CN"/>
        </w:rPr>
        <w:t>的职责之一。</w:t>
      </w:r>
      <w:r>
        <w:rPr>
          <w:rFonts w:hint="eastAsia" w:ascii="仿宋_GB2312" w:hAnsi="仿宋_GB2312" w:eastAsia="仿宋_GB2312" w:cs="仿宋_GB2312"/>
          <w:sz w:val="32"/>
          <w:szCs w:val="32"/>
          <w:lang w:val="en-US" w:eastAsia="zh-CN"/>
        </w:rPr>
        <w:t>习近平总书记指出，思想政治工作是专业性很强的工作，没有几把刷子是干不了的，没有高素质、好把式、真功夫是干部出漂亮活的，要不断掌握新知识、熟悉新本领、开拓新视野，提升能力本领，加强调查研究，不断增脚力、眼力、脑力、笔力，努力成为政治过硬、本领高强、求实创新能打胜仗的思想政治工作者。</w:t>
      </w:r>
      <w:r>
        <w:rPr>
          <w:rFonts w:hint="eastAsia" w:ascii="仿宋_GB2312" w:hAnsi="仿宋_GB2312" w:eastAsia="仿宋_GB2312" w:cs="仿宋_GB2312"/>
          <w:sz w:val="32"/>
          <w:szCs w:val="32"/>
        </w:rPr>
        <w:t>从北京思想政治工作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实践看，近年来立足新时代首都</w:t>
      </w:r>
      <w:r>
        <w:rPr>
          <w:rFonts w:hint="eastAsia" w:ascii="仿宋_GB2312" w:hAnsi="仿宋_GB2312" w:eastAsia="仿宋_GB2312" w:cs="仿宋_GB2312"/>
          <w:sz w:val="32"/>
          <w:szCs w:val="32"/>
          <w:lang w:eastAsia="zh-CN"/>
        </w:rPr>
        <w:t>功能定位</w:t>
      </w:r>
      <w:r>
        <w:rPr>
          <w:rFonts w:hint="eastAsia" w:ascii="仿宋_GB2312" w:hAnsi="仿宋_GB2312" w:eastAsia="仿宋_GB2312" w:cs="仿宋_GB2312"/>
          <w:sz w:val="32"/>
          <w:szCs w:val="32"/>
        </w:rPr>
        <w:t>，思想政治工作有效发挥了统一思想、凝聚共识、鼓舞斗志、团结奋斗的重要作用。但同时，</w:t>
      </w:r>
      <w:r>
        <w:rPr>
          <w:rFonts w:hint="eastAsia" w:ascii="仿宋_GB2312" w:hAnsi="仿宋_GB2312" w:eastAsia="仿宋_GB2312" w:cs="仿宋_GB2312"/>
          <w:sz w:val="32"/>
          <w:szCs w:val="32"/>
          <w:lang w:eastAsia="zh-CN"/>
        </w:rPr>
        <w:t>一些单位在</w:t>
      </w:r>
      <w:r>
        <w:rPr>
          <w:rFonts w:hint="eastAsia" w:ascii="仿宋_GB2312" w:hAnsi="仿宋_GB2312" w:eastAsia="仿宋_GB2312" w:cs="仿宋_GB2312"/>
          <w:sz w:val="32"/>
          <w:szCs w:val="32"/>
        </w:rPr>
        <w:t>工作中还存在着</w:t>
      </w:r>
      <w:r>
        <w:rPr>
          <w:rFonts w:hint="eastAsia" w:ascii="仿宋_GB2312" w:hAnsi="仿宋_GB2312" w:eastAsia="仿宋_GB2312" w:cs="仿宋_GB2312"/>
          <w:sz w:val="32"/>
          <w:szCs w:val="32"/>
          <w:lang w:eastAsia="zh-CN"/>
        </w:rPr>
        <w:t>突出短板和</w:t>
      </w:r>
      <w:r>
        <w:rPr>
          <w:rFonts w:hint="eastAsia" w:ascii="仿宋_GB2312" w:hAnsi="仿宋_GB2312" w:eastAsia="仿宋_GB2312" w:cs="仿宋_GB2312"/>
          <w:sz w:val="32"/>
          <w:szCs w:val="32"/>
        </w:rPr>
        <w:t>薄弱环节。</w:t>
      </w:r>
      <w:r>
        <w:rPr>
          <w:rFonts w:hint="eastAsia" w:ascii="仿宋_GB2312" w:hAnsi="仿宋_GB2312" w:eastAsia="仿宋_GB2312" w:cs="仿宋_GB2312"/>
          <w:sz w:val="32"/>
          <w:szCs w:val="32"/>
          <w:lang w:eastAsia="zh-CN"/>
        </w:rPr>
        <w:t>比如，思想政治工作与党建、企业文化不能深度融合；比如，维护意识形态安全工作“不想抓”“不敢抓”“不会抓”的情况时有发生</w:t>
      </w:r>
      <w:r>
        <w:rPr>
          <w:rFonts w:hint="eastAsia" w:cs="仿宋_GB2312"/>
          <w:sz w:val="32"/>
          <w:szCs w:val="32"/>
          <w:lang w:val="en-US" w:eastAsia="zh-CN"/>
        </w:rPr>
        <w:t>，基层对开展思想政治工作专项辅导和培训呼声很高</w:t>
      </w:r>
      <w:r>
        <w:rPr>
          <w:rFonts w:hint="eastAsia" w:ascii="仿宋_GB2312" w:hAnsi="仿宋_GB2312" w:eastAsia="仿宋_GB2312" w:cs="仿宋_GB2312"/>
          <w:sz w:val="32"/>
          <w:szCs w:val="32"/>
          <w:lang w:eastAsia="zh-CN"/>
        </w:rPr>
        <w:t>。</w:t>
      </w:r>
      <w:r>
        <w:rPr>
          <w:rFonts w:hint="eastAsia" w:eastAsia="仿宋_GB2312" w:cs="仿宋_GB2312"/>
          <w:sz w:val="32"/>
          <w:szCs w:val="32"/>
          <w:lang w:val="en-US" w:eastAsia="zh-CN"/>
        </w:rPr>
        <w:t>市政研会在市委宣传部的领导下，积极回应基层对开展思想政治工作专题培训的迫切要求，策划组织全市思想政治工作示范培训班。</w:t>
      </w:r>
      <w:r>
        <w:rPr>
          <w:rFonts w:hint="eastAsia" w:ascii="仿宋" w:hAnsi="仿宋" w:eastAsia="仿宋" w:cs="仿宋_GB2312"/>
          <w:color w:val="000000"/>
          <w:sz w:val="32"/>
          <w:szCs w:val="32"/>
        </w:rPr>
        <w:t>2023年</w:t>
      </w:r>
      <w:r>
        <w:rPr>
          <w:rFonts w:hint="eastAsia" w:ascii="仿宋" w:hAnsi="仿宋" w:eastAsia="仿宋" w:cs="仿宋_GB2312"/>
          <w:color w:val="000000"/>
          <w:sz w:val="32"/>
          <w:szCs w:val="32"/>
          <w:lang w:val="en-US" w:eastAsia="zh-CN"/>
        </w:rPr>
        <w:t>计划</w:t>
      </w:r>
      <w:r>
        <w:rPr>
          <w:rFonts w:hint="eastAsia" w:ascii="仿宋" w:hAnsi="仿宋" w:eastAsia="仿宋"/>
          <w:sz w:val="32"/>
          <w:szCs w:val="32"/>
        </w:rPr>
        <w:t>面</w:t>
      </w:r>
      <w:r>
        <w:rPr>
          <w:rFonts w:hint="eastAsia" w:ascii="仿宋" w:hAnsi="仿宋" w:eastAsia="仿宋"/>
          <w:sz w:val="32"/>
          <w:szCs w:val="32"/>
          <w:lang w:val="en-US" w:eastAsia="zh-CN"/>
        </w:rPr>
        <w:t>向全市社区、国有企业和社会组织</w:t>
      </w:r>
      <w:r>
        <w:rPr>
          <w:rFonts w:hint="eastAsia" w:ascii="仿宋" w:hAnsi="仿宋" w:eastAsia="仿宋" w:cs="仿宋_GB2312"/>
          <w:color w:val="000000"/>
          <w:sz w:val="32"/>
          <w:szCs w:val="32"/>
        </w:rPr>
        <w:t>举办</w:t>
      </w:r>
      <w:r>
        <w:rPr>
          <w:rFonts w:hint="eastAsia" w:ascii="仿宋" w:hAnsi="仿宋" w:eastAsia="仿宋" w:cs="仿宋_GB2312"/>
          <w:color w:val="000000"/>
          <w:sz w:val="32"/>
          <w:szCs w:val="32"/>
          <w:lang w:val="en-US" w:eastAsia="zh-CN"/>
        </w:rPr>
        <w:t>了3期</w:t>
      </w:r>
      <w:r>
        <w:rPr>
          <w:rFonts w:hint="eastAsia" w:ascii="仿宋" w:hAnsi="仿宋" w:eastAsia="仿宋" w:cs="仿宋_GB2312"/>
          <w:color w:val="000000"/>
          <w:sz w:val="32"/>
          <w:szCs w:val="32"/>
        </w:rPr>
        <w:t>思想政治工作示范培训班</w:t>
      </w:r>
      <w:r>
        <w:rPr>
          <w:rFonts w:hint="eastAsia" w:ascii="仿宋" w:hAnsi="仿宋" w:eastAsia="仿宋" w:cs="仿宋_GB2312"/>
          <w:color w:val="000000"/>
          <w:sz w:val="32"/>
          <w:szCs w:val="32"/>
          <w:lang w:eastAsia="zh-CN"/>
        </w:rPr>
        <w:t>，参会单位</w:t>
      </w:r>
      <w:r>
        <w:rPr>
          <w:rFonts w:hint="eastAsia" w:ascii="仿宋" w:hAnsi="仿宋" w:eastAsia="仿宋" w:cs="仿宋_GB2312"/>
          <w:color w:val="000000"/>
          <w:sz w:val="32"/>
          <w:szCs w:val="32"/>
          <w:lang w:val="en-US" w:eastAsia="zh-CN"/>
        </w:rPr>
        <w:t>180家，200余人</w:t>
      </w:r>
      <w:r>
        <w:rPr>
          <w:rFonts w:hint="eastAsia" w:ascii="仿宋" w:hAnsi="仿宋" w:eastAsia="仿宋" w:cs="仿宋_GB2312"/>
          <w:color w:val="000000"/>
          <w:sz w:val="32"/>
          <w:szCs w:val="32"/>
        </w:rPr>
        <w:t>。</w:t>
      </w:r>
    </w:p>
    <w:p>
      <w:pPr>
        <w:pStyle w:val="4"/>
        <w:ind w:firstLine="640"/>
      </w:pPr>
      <w:r>
        <w:rPr>
          <w:rFonts w:hint="eastAsia"/>
        </w:rPr>
        <w:t>该项目实施主体为北京市思想政治工作研究会，具体由研究部负责组织实施。</w:t>
      </w:r>
    </w:p>
    <w:p>
      <w:pPr>
        <w:pStyle w:val="4"/>
        <w:ind w:firstLine="640"/>
      </w:pPr>
      <w:r>
        <w:rPr>
          <w:rFonts w:hint="eastAsia"/>
        </w:rPr>
        <w:t>2、</w:t>
      </w:r>
      <w:r>
        <w:t>项目主要内容</w:t>
      </w:r>
    </w:p>
    <w:p>
      <w:pPr>
        <w:pStyle w:val="4"/>
        <w:ind w:firstLine="640"/>
      </w:pPr>
      <w:r>
        <w:rPr>
          <w:rFonts w:hint="eastAsia"/>
        </w:rPr>
        <w:t>项目主要内容进一步提升</w:t>
      </w:r>
      <w:r>
        <w:rPr>
          <w:rFonts w:hint="eastAsia"/>
          <w:lang w:val="en-US" w:eastAsia="zh-CN"/>
        </w:rPr>
        <w:t>思想政治工作</w:t>
      </w:r>
      <w:r>
        <w:rPr>
          <w:rFonts w:hint="eastAsia"/>
        </w:rPr>
        <w:t>分管领导、宣传部门负责人的思想政治工作水平，通过</w:t>
      </w:r>
      <w:r>
        <w:rPr>
          <w:rFonts w:hint="eastAsia"/>
          <w:lang w:val="en-US" w:eastAsia="zh-CN"/>
        </w:rPr>
        <w:t>理论解读</w:t>
      </w:r>
      <w:r>
        <w:rPr>
          <w:rFonts w:hint="eastAsia"/>
        </w:rPr>
        <w:t>、案例分享</w:t>
      </w:r>
      <w:r>
        <w:rPr>
          <w:rFonts w:hint="eastAsia"/>
          <w:lang w:eastAsia="zh-CN"/>
        </w:rPr>
        <w:t>、</w:t>
      </w:r>
      <w:r>
        <w:rPr>
          <w:rFonts w:hint="eastAsia"/>
        </w:rPr>
        <w:t>小组讨论</w:t>
      </w:r>
      <w:r>
        <w:rPr>
          <w:rFonts w:hint="eastAsia"/>
          <w:lang w:val="en-US" w:eastAsia="zh-CN"/>
        </w:rPr>
        <w:t>和参观考察</w:t>
      </w:r>
      <w:r>
        <w:rPr>
          <w:rFonts w:hint="eastAsia"/>
        </w:rPr>
        <w:t>，提高参训人员在思想政治教育工作中的政治素质、业务能力和综合素质。具体内容如下：</w:t>
      </w:r>
    </w:p>
    <w:p>
      <w:pPr>
        <w:pStyle w:val="4"/>
        <w:ind w:firstLine="640"/>
        <w:rPr>
          <w:rFonts w:hint="default" w:eastAsia="仿宋_GB2312"/>
          <w:lang w:val="en-US" w:eastAsia="zh-CN"/>
        </w:rPr>
      </w:pPr>
      <w:r>
        <w:rPr>
          <w:rFonts w:hint="eastAsia"/>
        </w:rPr>
        <w:t>（1）</w:t>
      </w:r>
      <w:r>
        <w:rPr>
          <w:rFonts w:hint="eastAsia"/>
          <w:lang w:val="en-US" w:eastAsia="zh-CN"/>
        </w:rPr>
        <w:t>理论解读</w:t>
      </w:r>
    </w:p>
    <w:p>
      <w:pPr>
        <w:adjustRightInd w:val="0"/>
        <w:snapToGrid w:val="0"/>
        <w:spacing w:line="360" w:lineRule="auto"/>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为确保理论学习的深度和广度，培训班邀请了</w:t>
      </w:r>
      <w:r>
        <w:rPr>
          <w:rFonts w:hint="eastAsia" w:ascii="仿宋_GB2312" w:hAnsi="仿宋" w:cs="Times New Roman"/>
          <w:kern w:val="2"/>
          <w:sz w:val="32"/>
          <w:szCs w:val="32"/>
          <w:lang w:val="en-US" w:eastAsia="zh-CN" w:bidi="ar-SA"/>
        </w:rPr>
        <w:t>思想政治工作领域知名专家、</w:t>
      </w:r>
      <w:r>
        <w:rPr>
          <w:rFonts w:hint="eastAsia" w:ascii="仿宋_GB2312" w:hAnsi="仿宋" w:eastAsia="仿宋_GB2312" w:cs="Times New Roman"/>
          <w:kern w:val="2"/>
          <w:sz w:val="32"/>
          <w:szCs w:val="32"/>
          <w:lang w:val="en-US" w:eastAsia="zh-CN" w:bidi="ar-SA"/>
        </w:rPr>
        <w:t>参与《新时代加强和改进新时代思想政治工作意见》起草的专家进行专题授课。专家们从当前思想政治工作面临的新形势出发，深入全面的解读</w:t>
      </w:r>
      <w:r>
        <w:rPr>
          <w:rFonts w:hint="eastAsia" w:ascii="仿宋_GB2312" w:hAnsi="仿宋" w:cs="Times New Roman"/>
          <w:kern w:val="2"/>
          <w:sz w:val="32"/>
          <w:szCs w:val="32"/>
          <w:lang w:val="en-US" w:eastAsia="zh-CN" w:bidi="ar-SA"/>
        </w:rPr>
        <w:t>二十大报告、解读</w:t>
      </w:r>
      <w:r>
        <w:rPr>
          <w:rFonts w:hint="eastAsia" w:ascii="仿宋_GB2312" w:hAnsi="仿宋" w:eastAsia="仿宋_GB2312" w:cs="Times New Roman"/>
          <w:kern w:val="2"/>
          <w:sz w:val="32"/>
          <w:szCs w:val="32"/>
          <w:lang w:val="en-US" w:eastAsia="zh-CN" w:bidi="ar-SA"/>
        </w:rPr>
        <w:t>《意见》的出台背景、核心内容和实践要求，帮助学员领会深刻理解</w:t>
      </w:r>
      <w:r>
        <w:rPr>
          <w:rFonts w:hint="eastAsia" w:ascii="仿宋_GB2312" w:hAnsi="仿宋" w:cs="Times New Roman"/>
          <w:kern w:val="2"/>
          <w:sz w:val="32"/>
          <w:szCs w:val="32"/>
          <w:lang w:val="en-US" w:eastAsia="zh-CN" w:bidi="ar-SA"/>
        </w:rPr>
        <w:t>新时代党和国家对思想政治工作的新要求</w:t>
      </w:r>
      <w:r>
        <w:rPr>
          <w:rFonts w:hint="eastAsia" w:ascii="仿宋_GB2312" w:hAnsi="仿宋" w:eastAsia="仿宋_GB2312" w:cs="Times New Roman"/>
          <w:kern w:val="2"/>
          <w:sz w:val="32"/>
          <w:szCs w:val="32"/>
          <w:lang w:val="en-US" w:eastAsia="zh-CN" w:bidi="ar-SA"/>
        </w:rPr>
        <w:t>。</w:t>
      </w:r>
      <w:r>
        <w:rPr>
          <w:rFonts w:hint="eastAsia" w:eastAsia="仿宋_GB2312" w:cs="仿宋_GB2312"/>
          <w:sz w:val="32"/>
          <w:szCs w:val="32"/>
        </w:rPr>
        <w:t>邀请专家</w:t>
      </w:r>
      <w:r>
        <w:rPr>
          <w:rFonts w:hint="eastAsia" w:eastAsia="仿宋_GB2312" w:cs="仿宋_GB2312"/>
          <w:sz w:val="32"/>
          <w:szCs w:val="32"/>
          <w:lang w:eastAsia="zh-CN"/>
        </w:rPr>
        <w:t>围绕《</w:t>
      </w:r>
      <w:r>
        <w:rPr>
          <w:rFonts w:hint="eastAsia" w:eastAsia="仿宋_GB2312" w:cs="仿宋_GB2312"/>
          <w:sz w:val="32"/>
          <w:szCs w:val="32"/>
          <w:lang w:val="en-US" w:eastAsia="zh-CN"/>
        </w:rPr>
        <w:t>中国式现代化与民族复兴</w:t>
      </w:r>
      <w:r>
        <w:rPr>
          <w:rFonts w:hint="eastAsia" w:eastAsia="仿宋_GB2312" w:cs="仿宋_GB2312"/>
          <w:sz w:val="32"/>
          <w:szCs w:val="32"/>
          <w:lang w:eastAsia="zh-CN"/>
        </w:rPr>
        <w:t>》</w:t>
      </w:r>
      <w:r>
        <w:rPr>
          <w:rFonts w:hint="eastAsia" w:eastAsia="仿宋_GB2312" w:cs="仿宋_GB2312"/>
          <w:sz w:val="32"/>
          <w:szCs w:val="32"/>
          <w:lang w:val="en-US" w:eastAsia="zh-CN"/>
        </w:rPr>
        <w:t>进行专题辅导，加深对</w:t>
      </w:r>
      <w:r>
        <w:rPr>
          <w:rFonts w:hint="default" w:eastAsia="仿宋_GB2312" w:cs="仿宋_GB2312"/>
          <w:sz w:val="32"/>
          <w:szCs w:val="32"/>
        </w:rPr>
        <w:t>中国式现代化道路的历史与现实、理论与实践、民族性与世界性的</w:t>
      </w:r>
      <w:r>
        <w:rPr>
          <w:rFonts w:hint="eastAsia" w:eastAsia="仿宋_GB2312" w:cs="仿宋_GB2312"/>
          <w:sz w:val="32"/>
          <w:szCs w:val="32"/>
          <w:lang w:eastAsia="zh-CN"/>
        </w:rPr>
        <w:t>认识与理解；</w:t>
      </w:r>
      <w:r>
        <w:rPr>
          <w:rFonts w:hint="eastAsia" w:eastAsia="仿宋_GB2312" w:cs="仿宋_GB2312"/>
          <w:sz w:val="32"/>
          <w:szCs w:val="32"/>
          <w:lang w:val="en-US" w:eastAsia="zh-CN"/>
        </w:rPr>
        <w:t>解读《关于新时代加强和改进思想政治工作的意见》，加深</w:t>
      </w:r>
      <w:r>
        <w:rPr>
          <w:rFonts w:hint="eastAsia" w:eastAsia="仿宋_GB2312" w:cs="仿宋_GB2312"/>
          <w:sz w:val="32"/>
          <w:szCs w:val="32"/>
          <w:lang w:eastAsia="zh-CN"/>
        </w:rPr>
        <w:t>对新时代</w:t>
      </w:r>
      <w:r>
        <w:rPr>
          <w:rFonts w:hint="eastAsia" w:eastAsia="仿宋_GB2312" w:cs="仿宋_GB2312"/>
          <w:sz w:val="32"/>
          <w:szCs w:val="32"/>
        </w:rPr>
        <w:t>思想政治工作</w:t>
      </w:r>
      <w:r>
        <w:rPr>
          <w:rFonts w:hint="eastAsia" w:eastAsia="仿宋_GB2312" w:cs="仿宋_GB2312"/>
          <w:sz w:val="32"/>
          <w:szCs w:val="32"/>
          <w:lang w:eastAsia="zh-CN"/>
        </w:rPr>
        <w:t>的根本任务、职责使命</w:t>
      </w:r>
      <w:r>
        <w:rPr>
          <w:rFonts w:hint="eastAsia" w:eastAsia="仿宋_GB2312" w:cs="仿宋_GB2312"/>
          <w:sz w:val="32"/>
          <w:szCs w:val="32"/>
        </w:rPr>
        <w:t>的理解</w:t>
      </w:r>
      <w:r>
        <w:rPr>
          <w:rFonts w:hint="eastAsia" w:eastAsia="仿宋_GB2312" w:cs="仿宋_GB2312"/>
          <w:sz w:val="32"/>
          <w:szCs w:val="32"/>
          <w:lang w:eastAsia="zh-CN"/>
        </w:rPr>
        <w:t>与把握</w:t>
      </w:r>
      <w:r>
        <w:rPr>
          <w:rFonts w:hint="eastAsia" w:cs="仿宋_GB2312"/>
          <w:sz w:val="32"/>
          <w:szCs w:val="32"/>
          <w:lang w:eastAsia="zh-CN"/>
        </w:rPr>
        <w:t>。</w:t>
      </w:r>
    </w:p>
    <w:p>
      <w:pPr>
        <w:numPr>
          <w:ilvl w:val="0"/>
          <w:numId w:val="0"/>
        </w:numPr>
        <w:adjustRightInd w:val="0"/>
        <w:snapToGrid w:val="0"/>
        <w:spacing w:line="360" w:lineRule="auto"/>
        <w:ind w:firstLine="640" w:firstLineChars="200"/>
        <w:rPr>
          <w:rFonts w:hint="eastAsia"/>
          <w:lang w:val="en-US" w:eastAsia="zh-CN"/>
        </w:rPr>
      </w:pPr>
      <w:r>
        <w:rPr>
          <w:rFonts w:hint="eastAsia"/>
          <w:lang w:val="en-US" w:eastAsia="zh-CN"/>
        </w:rPr>
        <w:t>（2）案例分享</w:t>
      </w:r>
    </w:p>
    <w:p>
      <w:pPr>
        <w:numPr>
          <w:ilvl w:val="0"/>
          <w:numId w:val="0"/>
        </w:numPr>
        <w:adjustRightInd w:val="0"/>
        <w:snapToGrid w:val="0"/>
        <w:spacing w:line="360" w:lineRule="auto"/>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市</w:t>
      </w:r>
      <w:r>
        <w:rPr>
          <w:rFonts w:hint="eastAsia" w:ascii="仿宋_GB2312" w:hAnsi="仿宋" w:cs="Times New Roman"/>
          <w:kern w:val="2"/>
          <w:sz w:val="32"/>
          <w:szCs w:val="32"/>
          <w:lang w:val="en-US" w:eastAsia="zh-CN" w:bidi="ar-SA"/>
        </w:rPr>
        <w:t>政研会</w:t>
      </w:r>
      <w:r>
        <w:rPr>
          <w:rFonts w:hint="eastAsia" w:ascii="仿宋_GB2312" w:hAnsi="仿宋" w:eastAsia="仿宋_GB2312" w:cs="Times New Roman"/>
          <w:kern w:val="2"/>
          <w:sz w:val="32"/>
          <w:szCs w:val="32"/>
          <w:lang w:val="en-US" w:eastAsia="zh-CN" w:bidi="ar-SA"/>
        </w:rPr>
        <w:t>充分利用自身承办“双优”评选工作的优势，依托北京市“双优”评选表彰，精选同行业、系统的典型案例，创新设计出时长为1个半小时的小课模式，突出实用性的同时，又确保了信息的高密度传递。</w:t>
      </w:r>
    </w:p>
    <w:p>
      <w:pPr>
        <w:adjustRightInd w:val="0"/>
        <w:snapToGrid w:val="0"/>
        <w:spacing w:line="360" w:lineRule="auto"/>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培训班</w:t>
      </w:r>
      <w:r>
        <w:rPr>
          <w:rFonts w:hint="eastAsia" w:ascii="仿宋_GB2312" w:hAnsi="仿宋" w:cs="Times New Roman"/>
          <w:kern w:val="2"/>
          <w:sz w:val="32"/>
          <w:szCs w:val="32"/>
          <w:lang w:val="en-US" w:eastAsia="zh-CN" w:bidi="ar-SA"/>
        </w:rPr>
        <w:t>细分受众</w:t>
      </w:r>
      <w:r>
        <w:rPr>
          <w:rFonts w:hint="eastAsia" w:ascii="仿宋_GB2312" w:hAnsi="仿宋" w:eastAsia="仿宋_GB2312" w:cs="Times New Roman"/>
          <w:kern w:val="2"/>
          <w:sz w:val="32"/>
          <w:szCs w:val="32"/>
          <w:lang w:val="en-US" w:eastAsia="zh-CN" w:bidi="ar-SA"/>
        </w:rPr>
        <w:t>，邀请本行业领域思想政治工作的行家里手进行案例分享，典型案例进行深入讲解，通过关键点解析、工作思路与实施措施陈述</w:t>
      </w:r>
      <w:r>
        <w:rPr>
          <w:rFonts w:hint="eastAsia" w:ascii="仿宋_GB2312" w:hAnsi="仿宋" w:cs="Times New Roman"/>
          <w:kern w:val="2"/>
          <w:sz w:val="32"/>
          <w:szCs w:val="32"/>
          <w:lang w:val="en-US" w:eastAsia="zh-CN" w:bidi="ar-SA"/>
        </w:rPr>
        <w:t>，</w:t>
      </w:r>
      <w:r>
        <w:rPr>
          <w:rFonts w:hint="eastAsia" w:ascii="仿宋_GB2312" w:hAnsi="仿宋" w:eastAsia="仿宋_GB2312" w:cs="Times New Roman"/>
          <w:kern w:val="2"/>
          <w:sz w:val="32"/>
          <w:szCs w:val="32"/>
          <w:lang w:val="en-US" w:eastAsia="zh-CN" w:bidi="ar-SA"/>
        </w:rPr>
        <w:t>从不同角度分析了当前北京市思想政治工作中存在的各类问题与挑战，并结合丰富的工作案例为学员提升实践中的应对能力提供了指导和思路。</w:t>
      </w:r>
      <w:r>
        <w:rPr>
          <w:rFonts w:hint="eastAsia" w:eastAsia="仿宋_GB2312" w:cs="仿宋_GB2312"/>
          <w:sz w:val="32"/>
          <w:szCs w:val="32"/>
        </w:rPr>
        <w:t>围绕《新时代志愿服务理论与实践》</w:t>
      </w:r>
      <w:r>
        <w:rPr>
          <w:rFonts w:hint="eastAsia" w:cs="仿宋_GB2312"/>
          <w:sz w:val="32"/>
          <w:szCs w:val="32"/>
          <w:lang w:val="en-US" w:eastAsia="zh-CN"/>
        </w:rPr>
        <w:t>等</w:t>
      </w:r>
      <w:r>
        <w:rPr>
          <w:rFonts w:hint="eastAsia" w:eastAsia="仿宋_GB2312" w:cs="仿宋_GB2312"/>
          <w:sz w:val="32"/>
          <w:szCs w:val="32"/>
        </w:rPr>
        <w:t>开展典型案例剖析</w:t>
      </w:r>
      <w:r>
        <w:rPr>
          <w:rFonts w:hint="eastAsia" w:eastAsia="仿宋_GB2312" w:cs="仿宋_GB2312"/>
          <w:sz w:val="32"/>
          <w:szCs w:val="32"/>
          <w:lang w:eastAsia="zh-CN"/>
        </w:rPr>
        <w:t>和</w:t>
      </w:r>
      <w:r>
        <w:rPr>
          <w:rFonts w:hint="eastAsia" w:eastAsia="仿宋_GB2312" w:cs="仿宋_GB2312"/>
          <w:sz w:val="32"/>
          <w:szCs w:val="32"/>
        </w:rPr>
        <w:t>经验</w:t>
      </w:r>
      <w:r>
        <w:rPr>
          <w:rFonts w:hint="eastAsia" w:eastAsia="仿宋_GB2312" w:cs="仿宋_GB2312"/>
          <w:sz w:val="32"/>
          <w:szCs w:val="32"/>
          <w:lang w:eastAsia="zh-CN"/>
        </w:rPr>
        <w:t>分享</w:t>
      </w:r>
      <w:r>
        <w:rPr>
          <w:rFonts w:hint="eastAsia" w:eastAsia="仿宋_GB2312" w:cs="仿宋_GB2312"/>
          <w:sz w:val="32"/>
          <w:szCs w:val="32"/>
        </w:rPr>
        <w:t>。</w:t>
      </w:r>
    </w:p>
    <w:p>
      <w:pPr>
        <w:adjustRightInd w:val="0"/>
        <w:snapToGrid w:val="0"/>
        <w:spacing w:line="360" w:lineRule="auto"/>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cs="Times New Roman"/>
          <w:kern w:val="2"/>
          <w:sz w:val="32"/>
          <w:szCs w:val="32"/>
          <w:lang w:val="en-US" w:eastAsia="zh-CN" w:bidi="ar-SA"/>
        </w:rPr>
        <w:t>（3）分组讨论</w:t>
      </w:r>
    </w:p>
    <w:p>
      <w:pPr>
        <w:adjustRightInd w:val="0"/>
        <w:snapToGrid w:val="0"/>
        <w:spacing w:line="360" w:lineRule="auto"/>
        <w:ind w:firstLine="640" w:firstLineChars="200"/>
        <w:rPr>
          <w:rFonts w:hint="eastAsia" w:ascii="仿宋_GB2312" w:hAnsi="仿宋" w:eastAsia="仿宋_GB2312" w:cs="Times New Roman"/>
          <w:kern w:val="2"/>
          <w:sz w:val="32"/>
          <w:szCs w:val="32"/>
          <w:lang w:val="en-US" w:eastAsia="zh-CN" w:bidi="ar-SA"/>
        </w:rPr>
      </w:pPr>
      <w:r>
        <w:rPr>
          <w:rFonts w:hint="eastAsia" w:eastAsia="仿宋_GB2312" w:cs="仿宋_GB2312"/>
          <w:sz w:val="32"/>
          <w:szCs w:val="32"/>
          <w:lang w:eastAsia="zh-CN"/>
        </w:rPr>
        <w:t>针对不同行业不同领域的学员，以“</w:t>
      </w:r>
      <w:r>
        <w:rPr>
          <w:rFonts w:hint="eastAsia" w:eastAsia="仿宋_GB2312" w:cs="仿宋_GB2312"/>
          <w:sz w:val="32"/>
          <w:szCs w:val="32"/>
        </w:rPr>
        <w:t>深入学习贯彻党的二十大精神，提高首都思想政治工作质量和水平</w:t>
      </w:r>
      <w:r>
        <w:rPr>
          <w:rFonts w:hint="eastAsia" w:eastAsia="仿宋_GB2312" w:cs="仿宋_GB2312"/>
          <w:sz w:val="32"/>
          <w:szCs w:val="32"/>
          <w:lang w:eastAsia="zh-CN"/>
        </w:rPr>
        <w:t>”等专题进行交流研讨，学员们结合各自岗位工作实际，介绍本行业本系统本单位开展思想政治工作的好经验好做法，提出工作中的遇到的困惑和问题，共同出谋划策，互促互鉴，并针对如何加强全市思想政治工作提出意见建议。</w:t>
      </w:r>
      <w:r>
        <w:rPr>
          <w:rFonts w:hint="eastAsia" w:ascii="仿宋_GB2312" w:hAnsi="仿宋" w:eastAsia="仿宋_GB2312" w:cs="Times New Roman"/>
          <w:kern w:val="2"/>
          <w:sz w:val="32"/>
          <w:szCs w:val="32"/>
          <w:lang w:val="en-US" w:eastAsia="zh-CN" w:bidi="ar-SA"/>
        </w:rPr>
        <w:t>学员围绕自身工作实际，分享思政工作的经验和亮点，积极介绍各自在思政工作中的情况和亮点。培训班组织专人进行记录和整理，计划后期对可挖掘的亮点进行跟踪，形成可推广的经验和做法。并将优秀调研成果推荐至《思想政治工作研究》、北京思政公众号上刊发，</w:t>
      </w:r>
      <w:r>
        <w:rPr>
          <w:rFonts w:hint="eastAsia" w:ascii="仿宋_GB2312" w:hAnsi="仿宋" w:cs="Times New Roman"/>
          <w:kern w:val="2"/>
          <w:sz w:val="32"/>
          <w:szCs w:val="32"/>
          <w:lang w:val="en-US" w:eastAsia="zh-CN" w:bidi="ar-SA"/>
        </w:rPr>
        <w:t>促进思想政治工作实践经验的成果转化</w:t>
      </w:r>
      <w:r>
        <w:rPr>
          <w:rFonts w:hint="eastAsia" w:ascii="仿宋_GB2312" w:hAnsi="仿宋" w:eastAsia="仿宋_GB2312" w:cs="Times New Roman"/>
          <w:kern w:val="2"/>
          <w:sz w:val="32"/>
          <w:szCs w:val="32"/>
          <w:lang w:val="en-US" w:eastAsia="zh-CN" w:bidi="ar-SA"/>
        </w:rPr>
        <w:t>。</w:t>
      </w:r>
    </w:p>
    <w:p>
      <w:pPr>
        <w:adjustRightInd w:val="0"/>
        <w:snapToGrid w:val="0"/>
        <w:spacing w:line="360" w:lineRule="auto"/>
        <w:ind w:firstLine="640" w:firstLineChars="200"/>
        <w:rPr>
          <w:rFonts w:hint="default"/>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参观考察</w:t>
      </w:r>
    </w:p>
    <w:p>
      <w:pPr>
        <w:adjustRightInd w:val="0"/>
        <w:snapToGrid w:val="0"/>
        <w:spacing w:line="360" w:lineRule="auto"/>
        <w:ind w:firstLine="640" w:firstLineChars="200"/>
      </w:pPr>
      <w:r>
        <w:rPr>
          <w:rFonts w:hint="eastAsia"/>
          <w:lang w:val="en-US" w:eastAsia="zh-CN"/>
        </w:rPr>
        <w:t>充分利用首都丰富的思想政治工作资源，组织学员参观考察本行业本领域的思想政治工作优秀单位，学习交流相关工作经验。参观大兴机场、北京国家生物产业基地、北京市人才文化教育基地，参观大兴区清源街道枣园社区“名书记工作室”、观音寺街道首座御园二里社区“七五小街”、魏善庄镇河北辛庄村“社工小院”、魏善庄镇社会工作服务中心，了解思想政治工作引领首都基层治理等方面的经验做法和工作成效。</w:t>
      </w:r>
    </w:p>
    <w:p>
      <w:pPr>
        <w:pStyle w:val="4"/>
        <w:ind w:firstLine="640"/>
      </w:pPr>
      <w:r>
        <w:rPr>
          <w:rFonts w:hint="eastAsia"/>
        </w:rPr>
        <w:t>3、项目实施情况</w:t>
      </w:r>
    </w:p>
    <w:p>
      <w:pPr>
        <w:pStyle w:val="4"/>
        <w:ind w:firstLine="640"/>
        <w:rPr>
          <w:rFonts w:hint="eastAsia"/>
          <w:highlight w:val="none"/>
          <w:lang w:val="en-US" w:eastAsia="zh-CN"/>
        </w:rPr>
      </w:pPr>
      <w:r>
        <w:rPr>
          <w:rFonts w:hint="eastAsia"/>
          <w:lang w:val="en-US" w:eastAsia="zh-CN"/>
        </w:rPr>
        <w:t>培训班项目由大兴区委党校教学基地北京泓文博雅艺术中心承接，2023年在北京泓文博雅艺术中心举办3次培训班，北京市国有企业、社区（乡镇）、社会组织思想政治工作示范培训班费用为</w:t>
      </w:r>
      <w:r>
        <w:rPr>
          <w:rFonts w:hint="eastAsia"/>
          <w:highlight w:val="none"/>
          <w:lang w:val="en-US" w:eastAsia="zh-CN"/>
        </w:rPr>
        <w:t>40.21万元。</w:t>
      </w:r>
    </w:p>
    <w:p>
      <w:pPr>
        <w:pStyle w:val="4"/>
        <w:ind w:firstLine="640"/>
        <w:rPr>
          <w:highlight w:val="none"/>
        </w:rPr>
      </w:pPr>
      <w:r>
        <w:rPr>
          <w:rFonts w:hint="eastAsia"/>
          <w:highlight w:val="none"/>
        </w:rPr>
        <w:t>合同要求：</w:t>
      </w:r>
      <w:r>
        <w:rPr>
          <w:rFonts w:hint="eastAsia"/>
          <w:highlight w:val="none"/>
          <w:lang w:val="en-US" w:eastAsia="zh-CN"/>
        </w:rPr>
        <w:t>泓文博雅艺术馆</w:t>
      </w:r>
      <w:r>
        <w:rPr>
          <w:rFonts w:hint="eastAsia"/>
          <w:highlight w:val="none"/>
        </w:rPr>
        <w:t>（1）</w:t>
      </w:r>
      <w:r>
        <w:rPr>
          <w:rFonts w:hint="eastAsia"/>
          <w:highlight w:val="none"/>
          <w:lang w:val="en-US" w:eastAsia="zh-CN"/>
        </w:rPr>
        <w:t>提供学员食宿、教室、会议室；（2）保障场馆的正常管理和安全运营秩序；（4）接送老师、接送参观考察学员；（4）免费提供私家车停车位。</w:t>
      </w:r>
    </w:p>
    <w:p>
      <w:pPr>
        <w:pStyle w:val="4"/>
        <w:ind w:firstLine="640"/>
        <w:rPr>
          <w:highlight w:val="none"/>
        </w:rPr>
      </w:pPr>
      <w:r>
        <w:rPr>
          <w:highlight w:val="none"/>
        </w:rPr>
        <w:t>4</w:t>
      </w:r>
      <w:r>
        <w:rPr>
          <w:rFonts w:hint="eastAsia"/>
          <w:highlight w:val="none"/>
        </w:rPr>
        <w:t>、项目资金的投入及使用</w:t>
      </w:r>
    </w:p>
    <w:p>
      <w:pPr>
        <w:pStyle w:val="4"/>
        <w:ind w:firstLine="640"/>
      </w:pPr>
      <w:r>
        <w:rPr>
          <w:rFonts w:hint="eastAsia"/>
          <w:highlight w:val="none"/>
          <w:lang w:val="en-US" w:eastAsia="zh-CN"/>
        </w:rPr>
        <w:t>该</w:t>
      </w:r>
      <w:r>
        <w:rPr>
          <w:rFonts w:hint="eastAsia"/>
          <w:highlight w:val="none"/>
        </w:rPr>
        <w:t>项目于2</w:t>
      </w:r>
      <w:r>
        <w:rPr>
          <w:highlight w:val="none"/>
        </w:rPr>
        <w:t>02</w:t>
      </w:r>
      <w:r>
        <w:rPr>
          <w:rFonts w:hint="eastAsia"/>
          <w:highlight w:val="none"/>
          <w:lang w:val="en-US" w:eastAsia="zh-CN"/>
        </w:rPr>
        <w:t>2</w:t>
      </w:r>
      <w:r>
        <w:rPr>
          <w:rFonts w:hint="eastAsia"/>
          <w:highlight w:val="none"/>
        </w:rPr>
        <w:t>年</w:t>
      </w:r>
      <w:r>
        <w:rPr>
          <w:rFonts w:hint="eastAsia"/>
          <w:highlight w:val="none"/>
          <w:lang w:val="en-US" w:eastAsia="zh-CN"/>
        </w:rPr>
        <w:t>10</w:t>
      </w:r>
      <w:r>
        <w:rPr>
          <w:rFonts w:hint="eastAsia"/>
          <w:highlight w:val="none"/>
        </w:rPr>
        <w:t>月申报预算，经北京市财政局批复项目预算资金</w:t>
      </w:r>
      <w:r>
        <w:rPr>
          <w:rFonts w:hint="eastAsia"/>
          <w:highlight w:val="none"/>
          <w:lang w:val="en-US" w:eastAsia="zh-CN"/>
        </w:rPr>
        <w:t>90.89</w:t>
      </w:r>
      <w:r>
        <w:rPr>
          <w:rFonts w:hint="eastAsia"/>
          <w:highlight w:val="none"/>
        </w:rPr>
        <w:t>元，2</w:t>
      </w:r>
      <w:r>
        <w:rPr>
          <w:highlight w:val="none"/>
        </w:rPr>
        <w:t>02</w:t>
      </w:r>
      <w:r>
        <w:rPr>
          <w:rFonts w:hint="eastAsia"/>
          <w:highlight w:val="none"/>
          <w:lang w:val="en-US" w:eastAsia="zh-CN"/>
        </w:rPr>
        <w:t>3</w:t>
      </w:r>
      <w:r>
        <w:rPr>
          <w:rFonts w:hint="eastAsia"/>
          <w:highlight w:val="none"/>
        </w:rPr>
        <w:t>年实际到位项目资金</w:t>
      </w:r>
      <w:r>
        <w:rPr>
          <w:rFonts w:hint="eastAsia"/>
          <w:highlight w:val="none"/>
          <w:lang w:val="en-US" w:eastAsia="zh-CN"/>
        </w:rPr>
        <w:t>90.89</w:t>
      </w:r>
      <w:r>
        <w:rPr>
          <w:rFonts w:hint="eastAsia"/>
          <w:highlight w:val="none"/>
        </w:rPr>
        <w:t>元，全部为财政资金，资金到位率</w:t>
      </w:r>
      <w:r>
        <w:rPr>
          <w:rFonts w:hint="eastAsia"/>
          <w:highlight w:val="none"/>
          <w:lang w:val="en-US" w:eastAsia="zh-CN"/>
        </w:rPr>
        <w:t>100</w:t>
      </w:r>
      <w:r>
        <w:rPr>
          <w:rFonts w:hint="eastAsia"/>
          <w:highlight w:val="none"/>
        </w:rPr>
        <w:t>%；预算明细包括：</w:t>
      </w:r>
      <w:r>
        <w:rPr>
          <w:rFonts w:hint="eastAsia"/>
          <w:highlight w:val="none"/>
          <w:lang w:eastAsia="zh-CN"/>
        </w:rPr>
        <w:t>培训费</w:t>
      </w:r>
      <w:r>
        <w:rPr>
          <w:rFonts w:hint="eastAsia"/>
          <w:highlight w:val="none"/>
          <w:lang w:val="en-US" w:eastAsia="zh-CN"/>
        </w:rPr>
        <w:t>38.8万元、劳务费52.08万元。</w:t>
      </w:r>
      <w:r>
        <w:rPr>
          <w:rFonts w:hint="eastAsia"/>
          <w:highlight w:val="none"/>
        </w:rPr>
        <w:t>截止2</w:t>
      </w:r>
      <w:r>
        <w:rPr>
          <w:highlight w:val="none"/>
        </w:rPr>
        <w:t>02</w:t>
      </w:r>
      <w:r>
        <w:rPr>
          <w:rFonts w:hint="eastAsia"/>
          <w:highlight w:val="none"/>
          <w:lang w:val="en-US" w:eastAsia="zh-CN"/>
        </w:rPr>
        <w:t>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31</w:t>
      </w:r>
      <w:r>
        <w:rPr>
          <w:rFonts w:hint="eastAsia"/>
          <w:highlight w:val="none"/>
        </w:rPr>
        <w:t>日，项目资金实际支出</w:t>
      </w:r>
      <w:r>
        <w:rPr>
          <w:rFonts w:hint="eastAsia"/>
          <w:highlight w:val="none"/>
          <w:lang w:val="en-US" w:eastAsia="zh-CN"/>
        </w:rPr>
        <w:t>40.21万</w:t>
      </w:r>
      <w:r>
        <w:rPr>
          <w:rFonts w:hint="eastAsia"/>
          <w:highlight w:val="none"/>
        </w:rPr>
        <w:t>元，其中：支出</w:t>
      </w:r>
      <w:r>
        <w:rPr>
          <w:rFonts w:hint="eastAsia"/>
          <w:highlight w:val="none"/>
          <w:lang w:eastAsia="zh-CN"/>
        </w:rPr>
        <w:t>培训费</w:t>
      </w:r>
      <w:r>
        <w:rPr>
          <w:rFonts w:hint="eastAsia"/>
          <w:highlight w:val="none"/>
          <w:lang w:val="en-US" w:eastAsia="zh-CN"/>
        </w:rPr>
        <w:t>37.15</w:t>
      </w:r>
      <w:r>
        <w:rPr>
          <w:rFonts w:hint="eastAsia"/>
          <w:highlight w:val="none"/>
        </w:rPr>
        <w:t>元</w:t>
      </w:r>
      <w:r>
        <w:rPr>
          <w:rFonts w:hint="eastAsia"/>
          <w:highlight w:val="none"/>
          <w:lang w:eastAsia="zh-CN"/>
        </w:rPr>
        <w:t>、</w:t>
      </w:r>
      <w:r>
        <w:rPr>
          <w:rFonts w:hint="eastAsia"/>
          <w:lang w:eastAsia="zh-CN"/>
        </w:rPr>
        <w:t>劳务费</w:t>
      </w:r>
      <w:r>
        <w:rPr>
          <w:rFonts w:hint="eastAsia"/>
          <w:lang w:val="en-US" w:eastAsia="zh-CN"/>
        </w:rPr>
        <w:t>3.06万元</w:t>
      </w:r>
      <w:r>
        <w:rPr>
          <w:rFonts w:hint="eastAsia"/>
        </w:rPr>
        <w:t>，预算执行率</w:t>
      </w:r>
      <w:r>
        <w:rPr>
          <w:rFonts w:hint="eastAsia"/>
          <w:lang w:val="en-US" w:eastAsia="zh-CN"/>
        </w:rPr>
        <w:t>44.24</w:t>
      </w:r>
      <w:r>
        <w:rPr>
          <w:rFonts w:hint="eastAsia"/>
        </w:rPr>
        <w:t>%。</w:t>
      </w:r>
    </w:p>
    <w:p>
      <w:pPr>
        <w:pStyle w:val="5"/>
        <w:ind w:left="0" w:leftChars="0" w:firstLine="640" w:firstLineChars="0"/>
      </w:pPr>
      <w:bookmarkStart w:id="7" w:name="_Toc103415879"/>
      <w:r>
        <w:t>项目绩效目标</w:t>
      </w:r>
      <w:bookmarkEnd w:id="7"/>
    </w:p>
    <w:p>
      <w:pPr>
        <w:pStyle w:val="4"/>
        <w:ind w:firstLine="640"/>
      </w:pPr>
      <w:r>
        <w:rPr>
          <w:rFonts w:hint="eastAsia"/>
        </w:rPr>
        <w:t>1、项目绩效总体目标</w:t>
      </w:r>
    </w:p>
    <w:p>
      <w:pPr>
        <w:pStyle w:val="2"/>
        <w:spacing w:line="560" w:lineRule="exact"/>
        <w:ind w:firstLine="640" w:firstLineChars="200"/>
      </w:pPr>
      <w:r>
        <w:rPr>
          <w:rFonts w:hint="eastAsia" w:cs="仿宋_GB2312"/>
          <w:sz w:val="32"/>
          <w:szCs w:val="32"/>
          <w:lang w:val="en-US" w:eastAsia="zh-CN"/>
        </w:rPr>
        <w:t>全年共</w:t>
      </w:r>
      <w:r>
        <w:rPr>
          <w:rFonts w:hint="eastAsia" w:eastAsia="仿宋_GB2312" w:cs="仿宋_GB2312"/>
          <w:sz w:val="32"/>
          <w:szCs w:val="32"/>
        </w:rPr>
        <w:t>举办3期全市思想政治工作示范培训班，培训单位180家、200余人次。</w:t>
      </w:r>
      <w:r>
        <w:rPr>
          <w:rFonts w:hint="eastAsia" w:ascii="仿宋" w:hAnsi="仿宋" w:eastAsia="仿宋"/>
          <w:sz w:val="32"/>
          <w:szCs w:val="32"/>
        </w:rPr>
        <w:t>市政研会团结引领、联络协调、服务管理的基本职能</w:t>
      </w:r>
      <w:r>
        <w:rPr>
          <w:rFonts w:hint="eastAsia" w:ascii="仿宋" w:hAnsi="仿宋" w:eastAsia="仿宋"/>
          <w:sz w:val="32"/>
          <w:szCs w:val="32"/>
          <w:lang w:val="en-US" w:eastAsia="zh-CN"/>
        </w:rPr>
        <w:t>得到较好发挥</w:t>
      </w:r>
      <w:r>
        <w:rPr>
          <w:rFonts w:hint="eastAsia" w:ascii="仿宋" w:hAnsi="仿宋" w:eastAsia="仿宋"/>
          <w:sz w:val="32"/>
          <w:szCs w:val="32"/>
        </w:rPr>
        <w:t>，</w:t>
      </w:r>
      <w:r>
        <w:rPr>
          <w:rFonts w:hint="eastAsia" w:eastAsia="仿宋_GB2312" w:cs="仿宋_GB2312"/>
          <w:sz w:val="32"/>
          <w:szCs w:val="32"/>
        </w:rPr>
        <w:t>通过举办专题培训班的形式，基层思想政治工作者加强了横向沟通和交流，扩大了社团组织服务的覆盖面，增强思想政治工作的影响力和吸引力。</w:t>
      </w:r>
      <w:r>
        <w:rPr>
          <w:rFonts w:hint="eastAsia" w:cs="仿宋_GB2312"/>
          <w:sz w:val="32"/>
          <w:szCs w:val="32"/>
          <w:lang w:val="en-US" w:eastAsia="zh-CN"/>
        </w:rPr>
        <w:t>同时，</w:t>
      </w:r>
      <w:r>
        <w:rPr>
          <w:rFonts w:hint="eastAsia" w:eastAsia="仿宋_GB2312" w:cs="仿宋_GB2312"/>
          <w:sz w:val="32"/>
          <w:szCs w:val="32"/>
        </w:rPr>
        <w:t>发现了很多优秀的基层干部，他们接触基层最具体的困难，</w:t>
      </w:r>
      <w:r>
        <w:rPr>
          <w:rFonts w:eastAsia="仿宋_GB2312" w:cs="仿宋_GB2312"/>
          <w:sz w:val="32"/>
          <w:szCs w:val="32"/>
        </w:rPr>
        <w:t>积累了很多行之有效的</w:t>
      </w:r>
      <w:r>
        <w:rPr>
          <w:rFonts w:hint="eastAsia" w:eastAsia="仿宋_GB2312" w:cs="仿宋_GB2312"/>
          <w:sz w:val="32"/>
          <w:szCs w:val="32"/>
        </w:rPr>
        <w:t>实践做法，值得我们重点关注和深入挖掘。</w:t>
      </w:r>
    </w:p>
    <w:p>
      <w:pPr>
        <w:pStyle w:val="4"/>
        <w:ind w:firstLine="640"/>
      </w:pPr>
      <w:r>
        <w:rPr>
          <w:rFonts w:hint="eastAsia"/>
        </w:rPr>
        <w:t>2、项目绩效</w:t>
      </w:r>
      <w:r>
        <w:t>阶段性目标</w:t>
      </w:r>
    </w:p>
    <w:p>
      <w:pPr>
        <w:pStyle w:val="4"/>
        <w:ind w:firstLine="640"/>
      </w:pPr>
      <w:r>
        <w:rPr>
          <w:rFonts w:hint="eastAsia" w:hAnsi="仿宋_GB2312" w:cs="仿宋_GB2312"/>
          <w:kern w:val="2"/>
          <w:sz w:val="32"/>
          <w:szCs w:val="32"/>
          <w:lang w:val="en-US" w:eastAsia="zh-CN" w:bidi="ar-SA"/>
        </w:rPr>
        <w:t>每期</w:t>
      </w:r>
      <w:r>
        <w:rPr>
          <w:rFonts w:hint="eastAsia" w:ascii="仿宋_GB2312" w:hAnsi="仿宋_GB2312" w:eastAsia="仿宋_GB2312" w:cs="仿宋_GB2312"/>
          <w:kern w:val="2"/>
          <w:sz w:val="32"/>
          <w:szCs w:val="32"/>
          <w:lang w:val="en-US" w:eastAsia="zh-CN" w:bidi="ar-SA"/>
        </w:rPr>
        <w:t>培训课程</w:t>
      </w:r>
      <w:r>
        <w:rPr>
          <w:rFonts w:hint="eastAsia" w:eastAsia="仿宋_GB2312" w:cs="仿宋_GB2312"/>
          <w:kern w:val="2"/>
          <w:sz w:val="32"/>
          <w:szCs w:val="32"/>
          <w:lang w:val="en-US" w:eastAsia="zh-CN" w:bidi="ar-SA"/>
        </w:rPr>
        <w:t>之初</w:t>
      </w:r>
      <w:r>
        <w:rPr>
          <w:rFonts w:hint="eastAsia" w:ascii="仿宋_GB2312" w:hAnsi="仿宋_GB2312" w:eastAsia="仿宋_GB2312" w:cs="仿宋_GB2312"/>
          <w:kern w:val="2"/>
          <w:sz w:val="32"/>
          <w:szCs w:val="32"/>
          <w:lang w:val="en-US" w:eastAsia="zh-CN" w:bidi="ar-SA"/>
        </w:rPr>
        <w:t>，</w:t>
      </w:r>
      <w:r>
        <w:rPr>
          <w:rFonts w:hint="eastAsia" w:eastAsia="仿宋_GB2312" w:cs="仿宋_GB2312"/>
          <w:kern w:val="2"/>
          <w:sz w:val="32"/>
          <w:szCs w:val="32"/>
          <w:lang w:val="en-US" w:eastAsia="zh-CN" w:bidi="ar-SA"/>
        </w:rPr>
        <w:t>开展</w:t>
      </w:r>
      <w:r>
        <w:rPr>
          <w:rFonts w:hint="eastAsia" w:ascii="仿宋_GB2312" w:hAnsi="仿宋_GB2312" w:eastAsia="仿宋_GB2312" w:cs="仿宋_GB2312"/>
          <w:kern w:val="2"/>
          <w:sz w:val="32"/>
          <w:szCs w:val="32"/>
          <w:lang w:val="en-US" w:eastAsia="zh-CN" w:bidi="ar-SA"/>
        </w:rPr>
        <w:t>对受培对象有针对性的需求调研</w:t>
      </w:r>
      <w:r>
        <w:rPr>
          <w:rFonts w:hint="eastAsia"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了解</w:t>
      </w:r>
      <w:r>
        <w:rPr>
          <w:rFonts w:hint="eastAsia" w:eastAsia="仿宋_GB2312" w:cs="仿宋_GB2312"/>
          <w:kern w:val="2"/>
          <w:sz w:val="32"/>
          <w:szCs w:val="32"/>
          <w:lang w:val="en-US" w:eastAsia="zh-CN" w:bidi="ar-SA"/>
        </w:rPr>
        <w:t>行业领域</w:t>
      </w:r>
      <w:r>
        <w:rPr>
          <w:rFonts w:hint="eastAsia" w:ascii="仿宋_GB2312" w:hAnsi="仿宋_GB2312" w:eastAsia="仿宋_GB2312" w:cs="仿宋_GB2312"/>
          <w:kern w:val="2"/>
          <w:sz w:val="32"/>
          <w:szCs w:val="32"/>
          <w:lang w:val="en-US" w:eastAsia="zh-CN" w:bidi="ar-SA"/>
        </w:rPr>
        <w:t>的</w:t>
      </w:r>
      <w:r>
        <w:rPr>
          <w:rFonts w:hint="eastAsia" w:eastAsia="仿宋_GB2312" w:cs="仿宋_GB2312"/>
          <w:kern w:val="2"/>
          <w:sz w:val="32"/>
          <w:szCs w:val="32"/>
          <w:lang w:val="en-US" w:eastAsia="zh-CN" w:bidi="ar-SA"/>
        </w:rPr>
        <w:t>基本</w:t>
      </w:r>
      <w:r>
        <w:rPr>
          <w:rFonts w:hint="eastAsia" w:ascii="仿宋_GB2312" w:hAnsi="仿宋_GB2312" w:eastAsia="仿宋_GB2312" w:cs="仿宋_GB2312"/>
          <w:kern w:val="2"/>
          <w:sz w:val="32"/>
          <w:szCs w:val="32"/>
          <w:lang w:val="en-US" w:eastAsia="zh-CN" w:bidi="ar-SA"/>
        </w:rPr>
        <w:t>情况、组织</w:t>
      </w:r>
      <w:r>
        <w:rPr>
          <w:rFonts w:hint="eastAsia" w:eastAsia="仿宋_GB2312" w:cs="仿宋_GB2312"/>
          <w:kern w:val="2"/>
          <w:sz w:val="32"/>
          <w:szCs w:val="32"/>
          <w:lang w:val="en-US" w:eastAsia="zh-CN" w:bidi="ar-SA"/>
        </w:rPr>
        <w:t>架构</w:t>
      </w:r>
      <w:r>
        <w:rPr>
          <w:rFonts w:hint="eastAsia" w:ascii="仿宋_GB2312" w:hAnsi="仿宋_GB2312" w:eastAsia="仿宋_GB2312" w:cs="仿宋_GB2312"/>
          <w:kern w:val="2"/>
          <w:sz w:val="32"/>
          <w:szCs w:val="32"/>
          <w:lang w:val="en-US" w:eastAsia="zh-CN" w:bidi="ar-SA"/>
        </w:rPr>
        <w:t>、</w:t>
      </w:r>
      <w:r>
        <w:rPr>
          <w:rFonts w:hint="eastAsia" w:eastAsia="仿宋_GB2312" w:cs="仿宋_GB2312"/>
          <w:kern w:val="2"/>
          <w:sz w:val="32"/>
          <w:szCs w:val="32"/>
          <w:lang w:val="en-US" w:eastAsia="zh-CN" w:bidi="ar-SA"/>
        </w:rPr>
        <w:t>对</w:t>
      </w:r>
      <w:r>
        <w:rPr>
          <w:rFonts w:hint="eastAsia" w:ascii="仿宋_GB2312" w:hAnsi="仿宋_GB2312" w:eastAsia="仿宋_GB2312" w:cs="仿宋_GB2312"/>
          <w:kern w:val="2"/>
          <w:sz w:val="32"/>
          <w:szCs w:val="32"/>
          <w:lang w:val="en-US" w:eastAsia="zh-CN" w:bidi="ar-SA"/>
        </w:rPr>
        <w:t>培训的期望</w:t>
      </w:r>
      <w:r>
        <w:rPr>
          <w:rFonts w:hint="eastAsia" w:eastAsia="仿宋_GB2312" w:cs="仿宋_GB2312"/>
          <w:kern w:val="2"/>
          <w:sz w:val="32"/>
          <w:szCs w:val="32"/>
          <w:lang w:val="en-US" w:eastAsia="zh-CN" w:bidi="ar-SA"/>
        </w:rPr>
        <w:t>等；</w:t>
      </w:r>
      <w:r>
        <w:rPr>
          <w:rFonts w:hint="eastAsia" w:ascii="仿宋_GB2312" w:hAnsi="仿宋_GB2312" w:eastAsia="仿宋_GB2312" w:cs="仿宋_GB2312"/>
          <w:kern w:val="2"/>
          <w:sz w:val="32"/>
          <w:szCs w:val="32"/>
          <w:lang w:val="en-US" w:eastAsia="zh-CN" w:bidi="ar-SA"/>
        </w:rPr>
        <w:t>了解学员的岗位要求、对培训的期望、对培训的态度等</w:t>
      </w:r>
      <w:r>
        <w:rPr>
          <w:rFonts w:hint="eastAsia" w:eastAsia="仿宋_GB2312" w:cs="仿宋_GB2312"/>
          <w:kern w:val="2"/>
          <w:sz w:val="32"/>
          <w:szCs w:val="32"/>
          <w:lang w:val="en-US" w:eastAsia="zh-CN" w:bidi="ar-SA"/>
        </w:rPr>
        <w:t>，在此基础</w:t>
      </w:r>
      <w:r>
        <w:rPr>
          <w:rFonts w:hint="eastAsia" w:ascii="仿宋_GB2312" w:hAnsi="仿宋_GB2312" w:eastAsia="仿宋_GB2312" w:cs="仿宋_GB2312"/>
          <w:kern w:val="2"/>
          <w:sz w:val="32"/>
          <w:szCs w:val="32"/>
          <w:lang w:val="en-US" w:eastAsia="zh-CN" w:bidi="ar-SA"/>
        </w:rPr>
        <w:t>上，再针对本期学员的</w:t>
      </w:r>
      <w:r>
        <w:rPr>
          <w:rFonts w:hint="eastAsia" w:eastAsia="仿宋_GB2312" w:cs="仿宋_GB2312"/>
          <w:kern w:val="2"/>
          <w:sz w:val="32"/>
          <w:szCs w:val="32"/>
          <w:lang w:val="en-US" w:eastAsia="zh-CN" w:bidi="ar-SA"/>
        </w:rPr>
        <w:t>特点</w:t>
      </w:r>
      <w:r>
        <w:rPr>
          <w:rFonts w:hint="eastAsia" w:ascii="仿宋_GB2312" w:hAnsi="仿宋_GB2312" w:eastAsia="仿宋_GB2312" w:cs="仿宋_GB2312"/>
          <w:kern w:val="2"/>
          <w:sz w:val="32"/>
          <w:szCs w:val="32"/>
          <w:lang w:val="en-US" w:eastAsia="zh-CN" w:bidi="ar-SA"/>
        </w:rPr>
        <w:t>有针对性地</w:t>
      </w:r>
      <w:r>
        <w:rPr>
          <w:rFonts w:hint="eastAsia" w:eastAsia="仿宋_GB2312" w:cs="仿宋_GB2312"/>
          <w:kern w:val="2"/>
          <w:sz w:val="32"/>
          <w:szCs w:val="32"/>
          <w:lang w:val="en-US" w:eastAsia="zh-CN" w:bidi="ar-SA"/>
        </w:rPr>
        <w:t>设计</w:t>
      </w:r>
      <w:r>
        <w:rPr>
          <w:rFonts w:hint="eastAsia" w:ascii="仿宋_GB2312" w:hAnsi="仿宋_GB2312" w:eastAsia="仿宋_GB2312" w:cs="仿宋_GB2312"/>
          <w:kern w:val="2"/>
          <w:sz w:val="32"/>
          <w:szCs w:val="32"/>
          <w:lang w:val="en-US" w:eastAsia="zh-CN" w:bidi="ar-SA"/>
        </w:rPr>
        <w:t>课程，并安排相应的</w:t>
      </w:r>
      <w:r>
        <w:rPr>
          <w:rFonts w:hint="eastAsia" w:eastAsia="仿宋_GB2312" w:cs="仿宋_GB2312"/>
          <w:kern w:val="2"/>
          <w:sz w:val="32"/>
          <w:szCs w:val="32"/>
          <w:lang w:val="en-US" w:eastAsia="zh-CN" w:bidi="ar-SA"/>
        </w:rPr>
        <w:t>实践</w:t>
      </w:r>
      <w:r>
        <w:rPr>
          <w:rFonts w:hint="eastAsia" w:ascii="仿宋_GB2312" w:hAnsi="仿宋_GB2312" w:eastAsia="仿宋_GB2312" w:cs="仿宋_GB2312"/>
          <w:kern w:val="2"/>
          <w:sz w:val="32"/>
          <w:szCs w:val="32"/>
          <w:lang w:val="en-US" w:eastAsia="zh-CN" w:bidi="ar-SA"/>
        </w:rPr>
        <w:t>教学活动</w:t>
      </w:r>
      <w:r>
        <w:rPr>
          <w:rFonts w:hint="eastAsia" w:eastAsia="仿宋_GB2312" w:cs="仿宋_GB2312"/>
          <w:kern w:val="2"/>
          <w:sz w:val="32"/>
          <w:szCs w:val="32"/>
          <w:lang w:val="en-US" w:eastAsia="zh-CN" w:bidi="ar-SA"/>
        </w:rPr>
        <w:t>。</w:t>
      </w:r>
    </w:p>
    <w:p>
      <w:pPr>
        <w:pStyle w:val="3"/>
        <w:ind w:firstLine="643"/>
      </w:pPr>
      <w:bookmarkStart w:id="8" w:name="_Toc103415880"/>
      <w:r>
        <w:t>绩效评价工作开展情况</w:t>
      </w:r>
      <w:bookmarkEnd w:id="8"/>
    </w:p>
    <w:p>
      <w:pPr>
        <w:pStyle w:val="5"/>
        <w:ind w:left="0" w:leftChars="0" w:firstLine="640" w:firstLineChars="0"/>
      </w:pPr>
      <w:bookmarkStart w:id="9" w:name="_Toc103415881"/>
      <w:r>
        <w:rPr>
          <w:rFonts w:hint="eastAsia"/>
        </w:rPr>
        <w:t>绩效评价目的、对象和范围</w:t>
      </w:r>
      <w:bookmarkEnd w:id="9"/>
    </w:p>
    <w:p>
      <w:pPr>
        <w:pStyle w:val="4"/>
        <w:ind w:firstLine="640"/>
      </w:pPr>
      <w:r>
        <w:rPr>
          <w:rFonts w:hint="eastAsia"/>
        </w:rPr>
        <w:t>1、绩效评价的目的</w:t>
      </w:r>
    </w:p>
    <w:p>
      <w:pPr>
        <w:pStyle w:val="4"/>
        <w:ind w:firstLine="640"/>
      </w:pPr>
      <w:r>
        <w:rPr>
          <w:rFonts w:hint="eastAsia"/>
        </w:rPr>
        <w:t>围绕项目决策、过程、产出及效益情况开展绩效评价，了解项目资金申请拨付以及使用情况，了解项目绩效的产出与效益情况；客观核实项目预期目标实现情况，及时总结经验，分析存在问题及原因，采取相应措施，提高财政资金的使用效益，为财政资金投入的科学性、安全性、规范性与效益性提供保障。</w:t>
      </w:r>
    </w:p>
    <w:p>
      <w:pPr>
        <w:pStyle w:val="4"/>
        <w:ind w:firstLine="640"/>
      </w:pPr>
      <w:r>
        <w:rPr>
          <w:rFonts w:hint="eastAsia"/>
        </w:rPr>
        <w:t>2、绩效评价的对象</w:t>
      </w:r>
    </w:p>
    <w:p>
      <w:pPr>
        <w:pStyle w:val="4"/>
        <w:ind w:firstLine="640"/>
      </w:pPr>
      <w:r>
        <w:rPr>
          <w:rFonts w:hint="eastAsia"/>
        </w:rPr>
        <w:t>北京市思想政治工作研究会</w:t>
      </w:r>
      <w:r>
        <w:rPr>
          <w:rFonts w:hint="eastAsia"/>
          <w:lang w:val="en-US" w:eastAsia="zh-CN"/>
        </w:rPr>
        <w:t>举办全市思想政治工作示范培训</w:t>
      </w:r>
      <w:r>
        <w:rPr>
          <w:rFonts w:hint="eastAsia"/>
        </w:rPr>
        <w:t>项目资金使用绩效。</w:t>
      </w:r>
    </w:p>
    <w:p>
      <w:pPr>
        <w:pStyle w:val="4"/>
        <w:ind w:firstLine="640"/>
      </w:pPr>
      <w:r>
        <w:rPr>
          <w:rFonts w:hint="eastAsia"/>
        </w:rPr>
        <w:t>3、绩效评价的范围</w:t>
      </w:r>
    </w:p>
    <w:p>
      <w:pPr>
        <w:pStyle w:val="4"/>
        <w:ind w:firstLine="640"/>
      </w:pPr>
      <w:r>
        <w:rPr>
          <w:rFonts w:hint="eastAsia"/>
        </w:rPr>
        <w:t>北京市思想政治工作研究会</w:t>
      </w:r>
      <w:r>
        <w:rPr>
          <w:rFonts w:hint="eastAsia"/>
          <w:lang w:val="en-US" w:eastAsia="zh-CN"/>
        </w:rPr>
        <w:t>举办全市思想政治工作示范培训班</w:t>
      </w:r>
      <w:r>
        <w:rPr>
          <w:rFonts w:hint="eastAsia"/>
        </w:rPr>
        <w:t>项目资金</w:t>
      </w:r>
      <w:r>
        <w:rPr>
          <w:rFonts w:hint="eastAsia"/>
          <w:highlight w:val="none"/>
          <w:lang w:val="en-US" w:eastAsia="zh-CN"/>
        </w:rPr>
        <w:t>90.89万</w:t>
      </w:r>
      <w:r>
        <w:rPr>
          <w:rFonts w:hint="eastAsia"/>
          <w:highlight w:val="none"/>
        </w:rPr>
        <w:t>元，其中：</w:t>
      </w:r>
      <w:r>
        <w:rPr>
          <w:rFonts w:hint="eastAsia"/>
          <w:highlight w:val="none"/>
          <w:lang w:val="en-US" w:eastAsia="zh-CN"/>
        </w:rPr>
        <w:t>培训</w:t>
      </w:r>
      <w:r>
        <w:rPr>
          <w:rFonts w:hint="eastAsia"/>
          <w:highlight w:val="none"/>
        </w:rPr>
        <w:t>费</w:t>
      </w:r>
      <w:r>
        <w:rPr>
          <w:rFonts w:hint="eastAsia"/>
          <w:lang w:val="en-US" w:eastAsia="zh-CN"/>
        </w:rPr>
        <w:t>38.8万</w:t>
      </w:r>
      <w:r>
        <w:rPr>
          <w:rFonts w:hint="eastAsia"/>
        </w:rPr>
        <w:t>元</w:t>
      </w:r>
      <w:r>
        <w:rPr>
          <w:rFonts w:hint="eastAsia"/>
          <w:lang w:eastAsia="zh-CN"/>
        </w:rPr>
        <w:t>、劳务费</w:t>
      </w:r>
      <w:r>
        <w:rPr>
          <w:rFonts w:hint="eastAsia"/>
          <w:lang w:val="en-US" w:eastAsia="zh-CN"/>
        </w:rPr>
        <w:t>52.08万元</w:t>
      </w:r>
      <w:r>
        <w:rPr>
          <w:rFonts w:hint="eastAsia"/>
        </w:rPr>
        <w:t>。主要范围为评价项目资金的使用、管理情况，项目申报、实施、完成情况以及项目实施的效益、服务对象满意程度等；评价项目时段为202</w:t>
      </w:r>
      <w:r>
        <w:rPr>
          <w:rFonts w:hint="eastAsia"/>
          <w:lang w:val="en-US" w:eastAsia="zh-CN"/>
        </w:rPr>
        <w:t>3</w:t>
      </w:r>
      <w:r>
        <w:rPr>
          <w:rFonts w:hint="eastAsia"/>
        </w:rPr>
        <w:t>年1月1日至202</w:t>
      </w:r>
      <w:r>
        <w:rPr>
          <w:rFonts w:hint="eastAsia"/>
          <w:lang w:val="en-US" w:eastAsia="zh-CN"/>
        </w:rPr>
        <w:t>3</w:t>
      </w:r>
      <w:r>
        <w:rPr>
          <w:rFonts w:hint="eastAsia"/>
        </w:rPr>
        <w:t>年12月31日。</w:t>
      </w:r>
    </w:p>
    <w:p>
      <w:pPr>
        <w:pStyle w:val="5"/>
        <w:ind w:left="0" w:leftChars="0" w:firstLine="640" w:firstLineChars="0"/>
      </w:pPr>
      <w:bookmarkStart w:id="10" w:name="_Toc103415882"/>
      <w:r>
        <w:t>绩效评价原则</w:t>
      </w:r>
      <w:r>
        <w:rPr>
          <w:rFonts w:hint="eastAsia"/>
        </w:rPr>
        <w:t>和方法、</w:t>
      </w:r>
      <w:r>
        <w:t>评价指标体系</w:t>
      </w:r>
      <w:bookmarkEnd w:id="10"/>
    </w:p>
    <w:p>
      <w:pPr>
        <w:pStyle w:val="4"/>
        <w:ind w:firstLine="640"/>
      </w:pPr>
      <w:r>
        <w:rPr>
          <w:rFonts w:hint="eastAsia"/>
        </w:rPr>
        <w:t>1、评价原则和方法</w:t>
      </w:r>
    </w:p>
    <w:p>
      <w:pPr>
        <w:pStyle w:val="4"/>
        <w:ind w:firstLine="640"/>
      </w:pPr>
      <w:r>
        <w:rPr>
          <w:rFonts w:hint="eastAsia"/>
        </w:rPr>
        <w:t>本次评价坚持问题导向、系统评价、科学客观、讲求绩效的原则，采用全面评价和重点评价相结合、现场评价和非现场评价相结合、定性分析与定量分析相结合的方式，运用</w:t>
      </w:r>
      <w:r>
        <w:rPr>
          <w:rFonts w:hint="eastAsia"/>
          <w:lang w:val="en-US" w:eastAsia="zh-CN"/>
        </w:rPr>
        <w:t>问</w:t>
      </w:r>
      <w:r>
        <w:rPr>
          <w:rFonts w:hint="eastAsia"/>
        </w:rPr>
        <w:t>卷研究等方法，对项目决策、过程、产出、效益四方面进行综合评价。</w:t>
      </w:r>
    </w:p>
    <w:p>
      <w:pPr>
        <w:pStyle w:val="4"/>
        <w:ind w:firstLine="640"/>
      </w:pPr>
      <w:r>
        <w:rPr>
          <w:rFonts w:hint="eastAsia"/>
        </w:rPr>
        <w:t>2、评价指标体系</w:t>
      </w:r>
    </w:p>
    <w:p>
      <w:pPr>
        <w:pStyle w:val="4"/>
        <w:ind w:firstLine="640"/>
      </w:pPr>
      <w:r>
        <w:rPr>
          <w:rFonts w:hint="eastAsia"/>
        </w:rPr>
        <w:t>本次评价指标体系根据《项目支出绩效评价管理办法》（财预〔2020〕10 号）、北京市财政局关于印发《北京市项目支出绩效评价管理办法》的通知（京财绩效〔2020〕2146号）、</w:t>
      </w:r>
      <w:r>
        <w:t>北京市</w:t>
      </w:r>
      <w:r>
        <w:rPr>
          <w:rFonts w:hint="eastAsia"/>
        </w:rPr>
        <w:t>财政局《关于开展2</w:t>
      </w:r>
      <w:r>
        <w:t>02</w:t>
      </w:r>
      <w:r>
        <w:rPr>
          <w:rFonts w:hint="eastAsia"/>
          <w:lang w:val="en-US" w:eastAsia="zh-CN"/>
        </w:rPr>
        <w:t>3</w:t>
      </w:r>
      <w:r>
        <w:rPr>
          <w:rFonts w:hint="eastAsia"/>
        </w:rPr>
        <w:t>年全面预算绩效管理工作的通知》有关要求，确定本次绩效评价指标的整体框架。针对项目构建一套指标体系，项目指标包括项目决策（项目立项、绩效目标、资金投入），项目过程（资金管理、组织实施），项目产出（产出数量、产出质量、产出时效、产出成本），项目效益（经济效益、社会效益、可持续影响、服务对象满意度）。根据项目工作实际情况等内容，确定本次绩效评价指标体系。指标数据来源于编制年度预算时提交的财政支出项目绩效目标申报表及项目设定的预期目标、相关法规、政府文件、基础数据采集、问卷调查和访谈等（具体指标体系见附件</w:t>
      </w:r>
      <w:r>
        <w:t>3</w:t>
      </w:r>
      <w:r>
        <w:rPr>
          <w:rFonts w:hint="eastAsia"/>
        </w:rPr>
        <w:t>）。</w:t>
      </w:r>
    </w:p>
    <w:p>
      <w:pPr>
        <w:pStyle w:val="4"/>
        <w:ind w:firstLine="640"/>
      </w:pPr>
      <w:r>
        <w:rPr>
          <w:rFonts w:hint="eastAsia"/>
        </w:rPr>
        <w:t>（1）项目决策：占权重1</w:t>
      </w:r>
      <w:r>
        <w:t>5</w:t>
      </w:r>
      <w:r>
        <w:rPr>
          <w:rFonts w:hint="eastAsia"/>
        </w:rPr>
        <w:t>分，用于考核项目立项依据规范性、绩效目标编制合理性、预算资金编制分配合理性等情况。</w:t>
      </w:r>
    </w:p>
    <w:p>
      <w:pPr>
        <w:pStyle w:val="4"/>
        <w:ind w:firstLine="640"/>
      </w:pPr>
      <w:r>
        <w:rPr>
          <w:rFonts w:hint="eastAsia"/>
        </w:rPr>
        <w:t>（2）</w:t>
      </w:r>
      <w:bookmarkStart w:id="11" w:name="_Hlk100689960"/>
      <w:r>
        <w:rPr>
          <w:rFonts w:hint="eastAsia"/>
        </w:rPr>
        <w:t>项目过程</w:t>
      </w:r>
      <w:bookmarkEnd w:id="11"/>
      <w:r>
        <w:rPr>
          <w:rFonts w:hint="eastAsia"/>
        </w:rPr>
        <w:t>：占权重</w:t>
      </w:r>
      <w:r>
        <w:t>25</w:t>
      </w:r>
      <w:r>
        <w:rPr>
          <w:rFonts w:hint="eastAsia"/>
        </w:rPr>
        <w:t>分，用于考核预算资金到位及执行使用的合规性、项目管理制度健全及有效性等情况。</w:t>
      </w:r>
    </w:p>
    <w:p>
      <w:pPr>
        <w:pStyle w:val="4"/>
        <w:ind w:firstLine="640"/>
      </w:pPr>
      <w:r>
        <w:rPr>
          <w:rFonts w:hint="eastAsia"/>
        </w:rPr>
        <w:t>（3）项目产出：占权重30分，分为产出数量、产出质量、产出时效、产出成本四个方面，用于衡量实际工作成果。</w:t>
      </w:r>
    </w:p>
    <w:p>
      <w:pPr>
        <w:pStyle w:val="4"/>
        <w:ind w:firstLine="640"/>
      </w:pPr>
      <w:r>
        <w:rPr>
          <w:rFonts w:hint="eastAsia"/>
        </w:rPr>
        <w:t>（4）项目效益：占权重</w:t>
      </w:r>
      <w:r>
        <w:t>30</w:t>
      </w:r>
      <w:r>
        <w:rPr>
          <w:rFonts w:hint="eastAsia"/>
        </w:rPr>
        <w:t>分，分为经济效益、社会效益、可持续影响、服务对象满意度五个方面，用于展现项目实施的效果。</w:t>
      </w:r>
    </w:p>
    <w:p>
      <w:pPr>
        <w:pStyle w:val="5"/>
        <w:ind w:left="0" w:leftChars="0" w:firstLine="640" w:firstLineChars="0"/>
      </w:pPr>
      <w:bookmarkStart w:id="12" w:name="_Toc103415883"/>
      <w:r>
        <w:t>绩效评价工作过程</w:t>
      </w:r>
      <w:bookmarkEnd w:id="12"/>
    </w:p>
    <w:p>
      <w:pPr>
        <w:pStyle w:val="4"/>
        <w:ind w:firstLine="640"/>
      </w:pPr>
      <w:r>
        <w:rPr>
          <w:rFonts w:hint="eastAsia"/>
        </w:rPr>
        <w:t>1、部门自评组织机构情况</w:t>
      </w:r>
    </w:p>
    <w:p>
      <w:pPr>
        <w:pStyle w:val="4"/>
        <w:ind w:firstLine="640"/>
        <w:rPr>
          <w:highlight w:val="none"/>
        </w:rPr>
      </w:pPr>
      <w:r>
        <w:rPr>
          <w:rFonts w:hint="eastAsia"/>
        </w:rPr>
        <w:t>市政研会根据市财政局预算绩效管理工作的要求，组织开展2</w:t>
      </w:r>
      <w:r>
        <w:t>02</w:t>
      </w:r>
      <w:r>
        <w:rPr>
          <w:rFonts w:hint="eastAsia"/>
          <w:lang w:val="en-US" w:eastAsia="zh-CN"/>
        </w:rPr>
        <w:t>3</w:t>
      </w:r>
      <w:r>
        <w:rPr>
          <w:rFonts w:hint="eastAsia"/>
        </w:rPr>
        <w:t>年度财政资金全过程预算绩效管理评价工作，成立</w:t>
      </w:r>
      <w:r>
        <w:rPr>
          <w:rFonts w:hint="eastAsia"/>
          <w:highlight w:val="none"/>
        </w:rPr>
        <w:t>评价工作小组，由市政研会常务副会长陈清担任组长，负责市政研会财政支出绩效全面执行、监督及审核；</w:t>
      </w:r>
      <w:r>
        <w:rPr>
          <w:rFonts w:hint="eastAsia"/>
          <w:highlight w:val="none"/>
          <w:lang w:eastAsia="zh-CN"/>
        </w:rPr>
        <w:t>办公室负债</w:t>
      </w:r>
      <w:r>
        <w:rPr>
          <w:rFonts w:hint="eastAsia"/>
          <w:highlight w:val="none"/>
        </w:rPr>
        <w:t>绩效工作的开展；研究部负责同志作为小组成员负责具体的项目实施工作。小组成员之间相互配合，积极沟通协调，共同保障项目工作的顺利进行。</w:t>
      </w:r>
    </w:p>
    <w:p>
      <w:pPr>
        <w:pStyle w:val="4"/>
        <w:ind w:firstLine="640"/>
      </w:pPr>
      <w:r>
        <w:rPr>
          <w:rFonts w:hint="eastAsia"/>
        </w:rPr>
        <w:t>2、部门自评实施情况</w:t>
      </w:r>
    </w:p>
    <w:p>
      <w:pPr>
        <w:pStyle w:val="4"/>
        <w:ind w:firstLine="640"/>
      </w:pPr>
      <w:r>
        <w:rPr>
          <w:rFonts w:hint="eastAsia"/>
        </w:rPr>
        <w:t>绩效评价工作流程分为前期准备阶段、现场核查阶段、资料信息汇总阶段、工作组评价阶段以及撰写评价报告等五个阶段。</w:t>
      </w:r>
    </w:p>
    <w:p>
      <w:pPr>
        <w:pStyle w:val="4"/>
        <w:ind w:firstLine="640"/>
      </w:pPr>
      <w:r>
        <w:rPr>
          <w:rFonts w:hint="eastAsia"/>
        </w:rPr>
        <w:t>前期准备阶段。评价工作组与项目实施主体在绩效评价理念、原则、工作方法、资料整理收集、绩效目标表填报、绩效报告撰写等方面进行广泛的沟通。在了解项目的立项背景、决策程序和项目实施的基本情况之后进行调研。</w:t>
      </w:r>
    </w:p>
    <w:p>
      <w:pPr>
        <w:pStyle w:val="4"/>
        <w:ind w:firstLine="640"/>
      </w:pPr>
      <w:r>
        <w:rPr>
          <w:rFonts w:hint="eastAsia"/>
        </w:rPr>
        <w:t>现场核查阶段。评价工作组从项目决策、项目管理、项目绩效三方面分别收集整理相关资料。主要包括：项目立项背景及发展计划、项目立项任务书、项目实施方案、项目管理办法、专项资金管理办法、相关账簿及会计凭证、审批资料、绩效目标表、实施效果证明资料、现场勘查等。</w:t>
      </w:r>
    </w:p>
    <w:p>
      <w:pPr>
        <w:pStyle w:val="4"/>
        <w:ind w:firstLine="640"/>
      </w:pPr>
      <w:r>
        <w:rPr>
          <w:rFonts w:hint="eastAsia"/>
        </w:rPr>
        <w:t>资料信息汇总阶段。评价工作组对陆续收集到的资料进行了分类整理和审查。按照立项决策管理、项目管理、制度建设管理、预算执行管理、绩效实现完成等方面对项目资料进行筛选和分类。</w:t>
      </w:r>
    </w:p>
    <w:p>
      <w:pPr>
        <w:pStyle w:val="4"/>
        <w:ind w:firstLine="640"/>
      </w:pPr>
      <w:r>
        <w:rPr>
          <w:rFonts w:hint="eastAsia"/>
        </w:rPr>
        <w:t>工作组评价阶段。评价工作组根据该项目特点，确定最终指标体系，对评价项目形成初步结论。</w:t>
      </w:r>
    </w:p>
    <w:p>
      <w:pPr>
        <w:pStyle w:val="4"/>
        <w:ind w:firstLine="640"/>
      </w:pPr>
      <w:r>
        <w:rPr>
          <w:rFonts w:hint="eastAsia"/>
        </w:rPr>
        <w:t>撰写评价报告。撰写评价报告初稿、沟通反馈、提交报告阶段。评价工作组根据评价意见，完成绩效评价报告初稿的撰写工作，并在与项目实施主体沟通反馈意见的基础上对评价报告进行修改，形成正式绩效评价报告。</w:t>
      </w:r>
    </w:p>
    <w:p>
      <w:pPr>
        <w:pStyle w:val="3"/>
        <w:ind w:firstLine="643"/>
      </w:pPr>
      <w:bookmarkStart w:id="13" w:name="_Toc103415884"/>
      <w:r>
        <w:t>综合评价情况及评价结论</w:t>
      </w:r>
      <w:bookmarkEnd w:id="13"/>
    </w:p>
    <w:p>
      <w:pPr>
        <w:pStyle w:val="4"/>
        <w:ind w:firstLine="640"/>
      </w:pPr>
      <w:r>
        <w:rPr>
          <w:rFonts w:hint="eastAsia"/>
        </w:rPr>
        <w:t>该项目绩效目标较为明确，决策依据充分，项目执行程序比较规范；财务制度管理体系基本健全，做到了专款专用，并严格执行了相关法律、法规及财务制度。</w:t>
      </w:r>
    </w:p>
    <w:p>
      <w:pPr>
        <w:pStyle w:val="4"/>
        <w:ind w:firstLine="640"/>
      </w:pPr>
      <w:r>
        <w:rPr>
          <w:rFonts w:hint="eastAsia"/>
        </w:rPr>
        <w:t>但该项目应建立健全的项目管理制度、进一步完善项目满意度调查，完善满意度调查问卷的设计内容；在效益资料收集、体现等方面仍需进一步加强。</w:t>
      </w:r>
    </w:p>
    <w:p>
      <w:pPr>
        <w:pStyle w:val="4"/>
        <w:ind w:firstLine="640"/>
      </w:pPr>
      <w:r>
        <w:rPr>
          <w:rFonts w:hint="eastAsia"/>
        </w:rPr>
        <w:t>评价组围绕绩效评价指标体系，通过数据采集分析、财务核查、实地核查及访谈等方式，对该项目绩效进行了客观、公正、合理、有效的评价，该项目综合评价得分</w:t>
      </w:r>
      <w:r>
        <w:t>9</w:t>
      </w:r>
      <w:r>
        <w:rPr>
          <w:rFonts w:hint="eastAsia"/>
          <w:lang w:val="en-US" w:eastAsia="zh-CN"/>
        </w:rPr>
        <w:t>2.96</w:t>
      </w:r>
      <w:r>
        <w:rPr>
          <w:rFonts w:hint="eastAsia"/>
        </w:rPr>
        <w:t>分，其中：项目决策</w:t>
      </w:r>
      <w:r>
        <w:t>14.00</w:t>
      </w:r>
      <w:r>
        <w:rPr>
          <w:rFonts w:hint="eastAsia"/>
        </w:rPr>
        <w:t>分，项目过程</w:t>
      </w:r>
      <w:r>
        <w:rPr>
          <w:rFonts w:hint="eastAsia"/>
          <w:lang w:val="en-US" w:eastAsia="zh-CN"/>
        </w:rPr>
        <w:t>21.21</w:t>
      </w:r>
      <w:r>
        <w:rPr>
          <w:rFonts w:hint="eastAsia"/>
        </w:rPr>
        <w:t>分，项目产出</w:t>
      </w:r>
      <w:r>
        <w:t>30.00</w:t>
      </w:r>
      <w:r>
        <w:rPr>
          <w:rFonts w:hint="eastAsia"/>
        </w:rPr>
        <w:t>分，项目效益</w:t>
      </w:r>
      <w:r>
        <w:rPr>
          <w:rFonts w:hint="eastAsia"/>
          <w:lang w:val="en-US" w:eastAsia="zh-CN"/>
        </w:rPr>
        <w:t>27.75</w:t>
      </w:r>
      <w:r>
        <w:rPr>
          <w:rFonts w:hint="eastAsia"/>
        </w:rPr>
        <w:t>分，评价等级为“优秀”。</w:t>
      </w:r>
    </w:p>
    <w:p>
      <w:pPr>
        <w:pStyle w:val="3"/>
        <w:ind w:firstLine="643"/>
      </w:pPr>
      <w:bookmarkStart w:id="14" w:name="_Toc103415885"/>
      <w:r>
        <w:t>绩效评价指标分析</w:t>
      </w:r>
      <w:bookmarkEnd w:id="14"/>
    </w:p>
    <w:p>
      <w:pPr>
        <w:pStyle w:val="5"/>
        <w:ind w:left="0" w:leftChars="0" w:firstLine="640" w:firstLineChars="0"/>
      </w:pPr>
      <w:bookmarkStart w:id="15" w:name="_Toc103415886"/>
      <w:r>
        <w:t>项目决策情况</w:t>
      </w:r>
      <w:bookmarkEnd w:id="15"/>
    </w:p>
    <w:p>
      <w:pPr>
        <w:pStyle w:val="4"/>
        <w:ind w:firstLine="640"/>
      </w:pPr>
      <w:r>
        <w:rPr>
          <w:rFonts w:hint="eastAsia"/>
        </w:rPr>
        <w:t>1、项目立项</w:t>
      </w:r>
    </w:p>
    <w:p>
      <w:pPr>
        <w:pStyle w:val="2"/>
        <w:keepNext w:val="0"/>
        <w:keepLines w:val="0"/>
        <w:pageBreakBefore w:val="0"/>
        <w:widowControl w:val="0"/>
        <w:kinsoku/>
        <w:wordWrap/>
        <w:overflowPunct/>
        <w:topLinePunct w:val="0"/>
        <w:autoSpaceDE/>
        <w:bidi w:val="0"/>
        <w:adjustRightInd/>
        <w:snapToGrid/>
        <w:spacing w:line="560" w:lineRule="exact"/>
        <w:ind w:firstLine="660"/>
        <w:textAlignment w:val="auto"/>
        <w:rPr>
          <w:rFonts w:hint="default"/>
          <w:lang w:val="en-US"/>
        </w:rPr>
      </w:pPr>
      <w:r>
        <w:rPr>
          <w:rFonts w:hint="eastAsia" w:cs="仿宋_GB2312"/>
          <w:sz w:val="32"/>
          <w:szCs w:val="32"/>
          <w:lang w:val="en-US" w:eastAsia="zh-CN"/>
        </w:rPr>
        <w:t>开展</w:t>
      </w:r>
      <w:r>
        <w:rPr>
          <w:rFonts w:hint="eastAsia" w:ascii="仿宋_GB2312" w:hAnsi="仿宋_GB2312" w:cs="仿宋_GB2312"/>
          <w:sz w:val="32"/>
          <w:szCs w:val="32"/>
          <w:lang w:val="en-US" w:eastAsia="zh-CN"/>
        </w:rPr>
        <w:t>全市思想政治工作的培训和辅导是</w:t>
      </w:r>
      <w:r>
        <w:rPr>
          <w:rFonts w:hint="eastAsia" w:eastAsia="仿宋_GB2312" w:cs="仿宋_GB2312"/>
          <w:sz w:val="32"/>
          <w:szCs w:val="32"/>
          <w:lang w:val="en-US" w:eastAsia="zh-CN"/>
        </w:rPr>
        <w:t>市政研会</w:t>
      </w:r>
      <w:r>
        <w:rPr>
          <w:rFonts w:hint="eastAsia" w:cs="仿宋_GB2312"/>
          <w:sz w:val="32"/>
          <w:szCs w:val="32"/>
          <w:lang w:val="en-US" w:eastAsia="zh-CN"/>
        </w:rPr>
        <w:t>的职责之一。</w:t>
      </w:r>
      <w:r>
        <w:rPr>
          <w:rFonts w:hint="eastAsia" w:ascii="仿宋_GB2312" w:hAnsi="仿宋_GB2312" w:eastAsia="仿宋_GB2312" w:cs="仿宋_GB2312"/>
          <w:sz w:val="32"/>
          <w:szCs w:val="32"/>
          <w:lang w:val="en-US" w:eastAsia="zh-CN"/>
        </w:rPr>
        <w:t>习近平总书记指出，思想政治工作是专业性很强的工作，没有几把刷子是干不了的，没有高素质、好把式、真功夫是干部出漂亮活的，要不断掌握新知识、熟悉新本领、开拓新视野，提升能力本领，加强调查研究，不断增脚力、眼力、脑力、笔力，努力成为政治过硬、本领高强、求实创新能打胜仗的思想政治工作者。</w:t>
      </w:r>
      <w:r>
        <w:rPr>
          <w:rFonts w:hint="eastAsia" w:ascii="仿宋_GB2312" w:hAnsi="仿宋_GB2312" w:eastAsia="仿宋_GB2312" w:cs="仿宋_GB2312"/>
          <w:sz w:val="32"/>
          <w:szCs w:val="32"/>
        </w:rPr>
        <w:t>从北京思想政治工作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实践看，近年来立足新时代首都</w:t>
      </w:r>
      <w:r>
        <w:rPr>
          <w:rFonts w:hint="eastAsia" w:ascii="仿宋_GB2312" w:hAnsi="仿宋_GB2312" w:eastAsia="仿宋_GB2312" w:cs="仿宋_GB2312"/>
          <w:sz w:val="32"/>
          <w:szCs w:val="32"/>
          <w:lang w:eastAsia="zh-CN"/>
        </w:rPr>
        <w:t>功能定位</w:t>
      </w:r>
      <w:r>
        <w:rPr>
          <w:rFonts w:hint="eastAsia" w:ascii="仿宋_GB2312" w:hAnsi="仿宋_GB2312" w:eastAsia="仿宋_GB2312" w:cs="仿宋_GB2312"/>
          <w:sz w:val="32"/>
          <w:szCs w:val="32"/>
        </w:rPr>
        <w:t>，思想政治工作有效发挥了统一思想、凝聚共识、鼓舞斗志、团结奋斗的重要作用。但同时，</w:t>
      </w:r>
      <w:r>
        <w:rPr>
          <w:rFonts w:hint="eastAsia" w:ascii="仿宋_GB2312" w:hAnsi="仿宋_GB2312" w:eastAsia="仿宋_GB2312" w:cs="仿宋_GB2312"/>
          <w:sz w:val="32"/>
          <w:szCs w:val="32"/>
          <w:lang w:eastAsia="zh-CN"/>
        </w:rPr>
        <w:t>一些单位在</w:t>
      </w:r>
      <w:r>
        <w:rPr>
          <w:rFonts w:hint="eastAsia" w:ascii="仿宋_GB2312" w:hAnsi="仿宋_GB2312" w:eastAsia="仿宋_GB2312" w:cs="仿宋_GB2312"/>
          <w:sz w:val="32"/>
          <w:szCs w:val="32"/>
        </w:rPr>
        <w:t>工作中还存在着</w:t>
      </w:r>
      <w:r>
        <w:rPr>
          <w:rFonts w:hint="eastAsia" w:ascii="仿宋_GB2312" w:hAnsi="仿宋_GB2312" w:eastAsia="仿宋_GB2312" w:cs="仿宋_GB2312"/>
          <w:sz w:val="32"/>
          <w:szCs w:val="32"/>
          <w:lang w:eastAsia="zh-CN"/>
        </w:rPr>
        <w:t>突出短板和</w:t>
      </w:r>
      <w:r>
        <w:rPr>
          <w:rFonts w:hint="eastAsia" w:ascii="仿宋_GB2312" w:hAnsi="仿宋_GB2312" w:eastAsia="仿宋_GB2312" w:cs="仿宋_GB2312"/>
          <w:sz w:val="32"/>
          <w:szCs w:val="32"/>
        </w:rPr>
        <w:t>薄弱环节。</w:t>
      </w:r>
      <w:r>
        <w:rPr>
          <w:rFonts w:hint="eastAsia" w:ascii="仿宋_GB2312" w:hAnsi="仿宋_GB2312" w:eastAsia="仿宋_GB2312" w:cs="仿宋_GB2312"/>
          <w:sz w:val="32"/>
          <w:szCs w:val="32"/>
          <w:lang w:eastAsia="zh-CN"/>
        </w:rPr>
        <w:t>比如，思想政治工作与党建、企业文化不能深度融合；比如，维护意识形态安全工作“不想抓”“不敢抓”“不会抓”的情况时有发生</w:t>
      </w:r>
      <w:r>
        <w:rPr>
          <w:rFonts w:hint="eastAsia" w:cs="仿宋_GB2312"/>
          <w:sz w:val="32"/>
          <w:szCs w:val="32"/>
          <w:lang w:val="en-US" w:eastAsia="zh-CN"/>
        </w:rPr>
        <w:t>，基层对开展思想政治工作专项辅导和培训呼声很高</w:t>
      </w:r>
      <w:r>
        <w:rPr>
          <w:rFonts w:hint="eastAsia" w:ascii="仿宋_GB2312" w:hAnsi="仿宋_GB2312" w:eastAsia="仿宋_GB2312" w:cs="仿宋_GB2312"/>
          <w:sz w:val="32"/>
          <w:szCs w:val="32"/>
          <w:lang w:eastAsia="zh-CN"/>
        </w:rPr>
        <w:t>。</w:t>
      </w:r>
      <w:r>
        <w:rPr>
          <w:rFonts w:hint="eastAsia" w:eastAsia="仿宋_GB2312" w:cs="仿宋_GB2312"/>
          <w:sz w:val="32"/>
          <w:szCs w:val="32"/>
          <w:lang w:val="en-US" w:eastAsia="zh-CN"/>
        </w:rPr>
        <w:t>市政研会在市委宣传部的领导下，积极回应基层对开展思想政治工作专题培训的迫切要求，策划组织全市思想政治工作示范培训班。</w:t>
      </w:r>
      <w:r>
        <w:rPr>
          <w:rFonts w:hint="eastAsia" w:ascii="仿宋" w:hAnsi="仿宋" w:eastAsia="仿宋" w:cs="仿宋_GB2312"/>
          <w:color w:val="000000"/>
          <w:sz w:val="32"/>
          <w:szCs w:val="32"/>
        </w:rPr>
        <w:t>2023年</w:t>
      </w:r>
      <w:r>
        <w:rPr>
          <w:rFonts w:hint="eastAsia" w:ascii="仿宋" w:hAnsi="仿宋" w:eastAsia="仿宋" w:cs="仿宋_GB2312"/>
          <w:color w:val="000000"/>
          <w:sz w:val="32"/>
          <w:szCs w:val="32"/>
          <w:lang w:val="en-US" w:eastAsia="zh-CN"/>
        </w:rPr>
        <w:t>计划</w:t>
      </w:r>
      <w:r>
        <w:rPr>
          <w:rFonts w:hint="eastAsia" w:ascii="仿宋" w:hAnsi="仿宋" w:eastAsia="仿宋"/>
          <w:sz w:val="32"/>
          <w:szCs w:val="32"/>
        </w:rPr>
        <w:t>面</w:t>
      </w:r>
      <w:r>
        <w:rPr>
          <w:rFonts w:hint="eastAsia" w:ascii="仿宋" w:hAnsi="仿宋" w:eastAsia="仿宋"/>
          <w:sz w:val="32"/>
          <w:szCs w:val="32"/>
          <w:lang w:val="en-US" w:eastAsia="zh-CN"/>
        </w:rPr>
        <w:t>向全市社区、国有企业和社会组织</w:t>
      </w:r>
      <w:r>
        <w:rPr>
          <w:rFonts w:hint="eastAsia" w:ascii="仿宋" w:hAnsi="仿宋" w:eastAsia="仿宋" w:cs="仿宋_GB2312"/>
          <w:color w:val="000000"/>
          <w:sz w:val="32"/>
          <w:szCs w:val="32"/>
        </w:rPr>
        <w:t>举办</w:t>
      </w:r>
      <w:r>
        <w:rPr>
          <w:rFonts w:hint="eastAsia" w:ascii="仿宋" w:hAnsi="仿宋" w:eastAsia="仿宋" w:cs="仿宋_GB2312"/>
          <w:color w:val="000000"/>
          <w:sz w:val="32"/>
          <w:szCs w:val="32"/>
          <w:lang w:val="en-US" w:eastAsia="zh-CN"/>
        </w:rPr>
        <w:t>了3期</w:t>
      </w:r>
      <w:r>
        <w:rPr>
          <w:rFonts w:hint="eastAsia" w:ascii="仿宋" w:hAnsi="仿宋" w:eastAsia="仿宋" w:cs="仿宋_GB2312"/>
          <w:color w:val="000000"/>
          <w:sz w:val="32"/>
          <w:szCs w:val="32"/>
        </w:rPr>
        <w:t>思想政治工作示范培训班</w:t>
      </w:r>
      <w:r>
        <w:rPr>
          <w:rFonts w:hint="eastAsia" w:ascii="仿宋" w:hAnsi="仿宋" w:eastAsia="仿宋" w:cs="仿宋_GB2312"/>
          <w:color w:val="000000"/>
          <w:sz w:val="32"/>
          <w:szCs w:val="32"/>
          <w:lang w:eastAsia="zh-CN"/>
        </w:rPr>
        <w:t>，参会单位</w:t>
      </w:r>
      <w:r>
        <w:rPr>
          <w:rFonts w:hint="eastAsia" w:ascii="仿宋" w:hAnsi="仿宋" w:eastAsia="仿宋" w:cs="仿宋_GB2312"/>
          <w:color w:val="000000"/>
          <w:sz w:val="32"/>
          <w:szCs w:val="32"/>
          <w:lang w:val="en-US" w:eastAsia="zh-CN"/>
        </w:rPr>
        <w:t>180家，200余人</w:t>
      </w:r>
      <w:r>
        <w:rPr>
          <w:rFonts w:hint="eastAsia" w:ascii="仿宋" w:hAnsi="仿宋" w:eastAsia="仿宋" w:cs="仿宋_GB2312"/>
          <w:color w:val="000000"/>
          <w:sz w:val="32"/>
          <w:szCs w:val="32"/>
        </w:rPr>
        <w:t>。</w:t>
      </w:r>
    </w:p>
    <w:p>
      <w:pPr>
        <w:pStyle w:val="4"/>
        <w:ind w:firstLine="640"/>
      </w:pPr>
      <w:r>
        <w:rPr>
          <w:rFonts w:hint="eastAsia"/>
        </w:rPr>
        <w:t>2、绩效目标</w:t>
      </w:r>
    </w:p>
    <w:p>
      <w:pPr>
        <w:pStyle w:val="2"/>
        <w:spacing w:line="560" w:lineRule="exact"/>
        <w:ind w:firstLine="640" w:firstLineChars="200"/>
      </w:pPr>
      <w:r>
        <w:rPr>
          <w:rFonts w:hint="eastAsia" w:cs="仿宋_GB2312"/>
          <w:sz w:val="32"/>
          <w:szCs w:val="32"/>
          <w:lang w:val="en-US" w:eastAsia="zh-CN"/>
        </w:rPr>
        <w:t>全年共</w:t>
      </w:r>
      <w:r>
        <w:rPr>
          <w:rFonts w:hint="eastAsia" w:eastAsia="仿宋_GB2312" w:cs="仿宋_GB2312"/>
          <w:sz w:val="32"/>
          <w:szCs w:val="32"/>
        </w:rPr>
        <w:t>举办3期全市思想政治工作示范培训班，培训单位180家、200余人次。</w:t>
      </w:r>
      <w:r>
        <w:rPr>
          <w:rFonts w:hint="eastAsia" w:ascii="仿宋" w:hAnsi="仿宋" w:eastAsia="仿宋"/>
          <w:sz w:val="32"/>
          <w:szCs w:val="32"/>
        </w:rPr>
        <w:t>市政研会团结引领、联络协调、服务管理的基本职能</w:t>
      </w:r>
      <w:r>
        <w:rPr>
          <w:rFonts w:hint="eastAsia" w:ascii="仿宋" w:hAnsi="仿宋" w:eastAsia="仿宋"/>
          <w:sz w:val="32"/>
          <w:szCs w:val="32"/>
          <w:lang w:val="en-US" w:eastAsia="zh-CN"/>
        </w:rPr>
        <w:t>得到较好发挥</w:t>
      </w:r>
      <w:r>
        <w:rPr>
          <w:rFonts w:hint="eastAsia" w:ascii="仿宋" w:hAnsi="仿宋" w:eastAsia="仿宋"/>
          <w:sz w:val="32"/>
          <w:szCs w:val="32"/>
        </w:rPr>
        <w:t>，</w:t>
      </w:r>
      <w:r>
        <w:rPr>
          <w:rFonts w:hint="eastAsia" w:eastAsia="仿宋_GB2312" w:cs="仿宋_GB2312"/>
          <w:sz w:val="32"/>
          <w:szCs w:val="32"/>
        </w:rPr>
        <w:t>通过举办专题培训班的形式，基层思想政治工作者加强了横向沟通和交流，扩大了社团组织服务的覆盖面，增强思想政治工作的影响力和吸引力。</w:t>
      </w:r>
      <w:r>
        <w:rPr>
          <w:rFonts w:hint="eastAsia" w:cs="仿宋_GB2312"/>
          <w:sz w:val="32"/>
          <w:szCs w:val="32"/>
          <w:lang w:val="en-US" w:eastAsia="zh-CN"/>
        </w:rPr>
        <w:t>同时，</w:t>
      </w:r>
      <w:r>
        <w:rPr>
          <w:rFonts w:hint="eastAsia" w:eastAsia="仿宋_GB2312" w:cs="仿宋_GB2312"/>
          <w:sz w:val="32"/>
          <w:szCs w:val="32"/>
        </w:rPr>
        <w:t>发现了很多优秀的基层干部，他们接触基层最具体的困难，</w:t>
      </w:r>
      <w:r>
        <w:rPr>
          <w:rFonts w:eastAsia="仿宋_GB2312" w:cs="仿宋_GB2312"/>
          <w:sz w:val="32"/>
          <w:szCs w:val="32"/>
        </w:rPr>
        <w:t>积累了很多行之有效的</w:t>
      </w:r>
      <w:r>
        <w:rPr>
          <w:rFonts w:hint="eastAsia" w:eastAsia="仿宋_GB2312" w:cs="仿宋_GB2312"/>
          <w:sz w:val="32"/>
          <w:szCs w:val="32"/>
        </w:rPr>
        <w:t>实践做法，值得我们重点关注和深入挖掘。</w:t>
      </w:r>
    </w:p>
    <w:p>
      <w:pPr>
        <w:pStyle w:val="4"/>
        <w:ind w:firstLine="640"/>
      </w:pPr>
      <w:r>
        <w:rPr>
          <w:rFonts w:hint="eastAsia"/>
        </w:rPr>
        <w:t>3、资金投入</w:t>
      </w:r>
    </w:p>
    <w:p>
      <w:pPr>
        <w:pStyle w:val="4"/>
        <w:ind w:firstLine="640"/>
      </w:pPr>
      <w:r>
        <w:rPr>
          <w:rFonts w:hint="eastAsia"/>
        </w:rPr>
        <w:t>市政研会</w:t>
      </w:r>
      <w:r>
        <w:rPr>
          <w:rFonts w:hint="eastAsia"/>
          <w:lang w:val="en-US" w:eastAsia="zh-CN"/>
        </w:rPr>
        <w:t>举办全市思想政治工作示范培训</w:t>
      </w:r>
      <w:r>
        <w:rPr>
          <w:rFonts w:hint="eastAsia"/>
        </w:rPr>
        <w:t>项目根据资金用途编制项目预算，列明项目实施的主要内容及资金投入使用量，预算内容与项目内容基本匹配，投入资金与项目工作内容相匹配，预算编制较为准确，资金分配额度较为合理。</w:t>
      </w:r>
    </w:p>
    <w:p>
      <w:pPr>
        <w:pStyle w:val="5"/>
        <w:ind w:left="0" w:leftChars="0" w:firstLine="640" w:firstLineChars="0"/>
      </w:pPr>
      <w:bookmarkStart w:id="16" w:name="_Toc103415887"/>
      <w:r>
        <w:t>项目过程情况</w:t>
      </w:r>
      <w:bookmarkEnd w:id="16"/>
    </w:p>
    <w:p>
      <w:pPr>
        <w:pStyle w:val="4"/>
        <w:ind w:firstLine="640"/>
      </w:pPr>
      <w:r>
        <w:rPr>
          <w:rFonts w:hint="eastAsia"/>
        </w:rPr>
        <w:t>1、资金管理</w:t>
      </w:r>
    </w:p>
    <w:p>
      <w:pPr>
        <w:pStyle w:val="4"/>
        <w:ind w:firstLine="640"/>
      </w:pPr>
      <w:r>
        <w:rPr>
          <w:rFonts w:hint="eastAsia"/>
        </w:rPr>
        <w:t>依据《北京市财政局关于批复北京市思想政治工作研究会2</w:t>
      </w:r>
      <w:r>
        <w:t>02</w:t>
      </w:r>
      <w:r>
        <w:rPr>
          <w:rFonts w:hint="eastAsia"/>
          <w:lang w:val="en-US" w:eastAsia="zh-CN"/>
        </w:rPr>
        <w:t>3</w:t>
      </w:r>
      <w:r>
        <w:rPr>
          <w:rFonts w:hint="eastAsia"/>
        </w:rPr>
        <w:t>年部门预算的函》，市政研会</w:t>
      </w:r>
      <w:r>
        <w:rPr>
          <w:rFonts w:hint="eastAsia"/>
          <w:lang w:val="en-US" w:eastAsia="zh-CN"/>
        </w:rPr>
        <w:t>举办全市思想政治工作示范培训</w:t>
      </w:r>
      <w:r>
        <w:rPr>
          <w:rFonts w:hint="eastAsia"/>
        </w:rPr>
        <w:t>项目</w:t>
      </w:r>
      <w:r>
        <w:rPr>
          <w:rFonts w:hint="eastAsia"/>
          <w:lang w:eastAsia="zh-CN"/>
        </w:rPr>
        <w:t>：</w:t>
      </w:r>
      <w:r>
        <w:rPr>
          <w:rFonts w:hint="eastAsia"/>
        </w:rPr>
        <w:t>2</w:t>
      </w:r>
      <w:r>
        <w:t>02</w:t>
      </w:r>
      <w:r>
        <w:rPr>
          <w:rFonts w:hint="eastAsia"/>
          <w:lang w:val="en-US" w:eastAsia="zh-CN"/>
        </w:rPr>
        <w:t>3</w:t>
      </w:r>
      <w:r>
        <w:rPr>
          <w:rFonts w:hint="eastAsia"/>
        </w:rPr>
        <w:t>年收到北京市财政局拨付的预算资金</w:t>
      </w:r>
      <w:r>
        <w:rPr>
          <w:rFonts w:hint="eastAsia"/>
          <w:lang w:val="en-US" w:eastAsia="zh-CN"/>
        </w:rPr>
        <w:t>90.89万</w:t>
      </w:r>
      <w:r>
        <w:rPr>
          <w:rFonts w:hint="eastAsia"/>
        </w:rPr>
        <w:t>元，全部为财政资金，截止2</w:t>
      </w:r>
      <w:r>
        <w:t>02</w:t>
      </w:r>
      <w:r>
        <w:rPr>
          <w:rFonts w:hint="eastAsia"/>
          <w:lang w:val="en-US" w:eastAsia="zh-CN"/>
        </w:rPr>
        <w:t>3</w:t>
      </w:r>
      <w:r>
        <w:rPr>
          <w:rFonts w:hint="eastAsia"/>
        </w:rPr>
        <w:t>年1</w:t>
      </w:r>
      <w:r>
        <w:t>2</w:t>
      </w:r>
      <w:r>
        <w:rPr>
          <w:rFonts w:hint="eastAsia"/>
        </w:rPr>
        <w:t>月3</w:t>
      </w:r>
      <w:r>
        <w:t>1</w:t>
      </w:r>
      <w:r>
        <w:rPr>
          <w:rFonts w:hint="eastAsia"/>
        </w:rPr>
        <w:t>日，</w:t>
      </w:r>
      <w:r>
        <w:rPr>
          <w:rFonts w:hint="eastAsia"/>
          <w:lang w:val="en-US" w:eastAsia="zh-CN"/>
        </w:rPr>
        <w:t>举办全市思想政治工作示范培训班</w:t>
      </w:r>
      <w:r>
        <w:rPr>
          <w:rFonts w:hint="eastAsia"/>
        </w:rPr>
        <w:t>项目实际使用资金</w:t>
      </w:r>
      <w:r>
        <w:rPr>
          <w:rFonts w:hint="eastAsia"/>
          <w:highlight w:val="none"/>
          <w:lang w:val="en-US" w:eastAsia="zh-CN"/>
        </w:rPr>
        <w:t>40.31万</w:t>
      </w:r>
      <w:r>
        <w:rPr>
          <w:rFonts w:hint="eastAsia"/>
        </w:rPr>
        <w:t>元，资金使用未超出预算，预算执行率</w:t>
      </w:r>
      <w:r>
        <w:rPr>
          <w:rFonts w:hint="eastAsia"/>
          <w:lang w:val="en-US" w:eastAsia="zh-CN"/>
        </w:rPr>
        <w:t>44.24</w:t>
      </w:r>
      <w:r>
        <w:rPr>
          <w:rFonts w:hint="eastAsia"/>
        </w:rPr>
        <w:t>%。项目资金的使用严格按照单位《内部控制制度汇编》执行，资金使用符合相关财务管理制度，项目资金使用合规，资金拨付的审批程序和手续齐全。</w:t>
      </w:r>
    </w:p>
    <w:p>
      <w:pPr>
        <w:pStyle w:val="4"/>
        <w:ind w:firstLine="640"/>
      </w:pPr>
      <w:r>
        <w:rPr>
          <w:rFonts w:hint="eastAsia"/>
        </w:rPr>
        <w:t>2、组织实施</w:t>
      </w:r>
    </w:p>
    <w:p>
      <w:pPr>
        <w:pStyle w:val="4"/>
        <w:ind w:firstLine="640"/>
      </w:pPr>
      <w:r>
        <w:rPr>
          <w:rFonts w:hint="eastAsia"/>
        </w:rPr>
        <w:t>为提高管理水平，做到项目管理标准化、规范化，市政研会根据《北京市思想政治工作研究会内部控制手册》、《北京市思想政治工作研究会内部控制制度汇编》，对项目的立项、实施、资金的使用支出做出了具体规定，明确组织管理机构和责任主体，但是项目管理制度仍需进一步完善。聘请专业运维机构和人员进行核心机房网络系统运维服务，签订项目委托合同，定期对核心机房网络系统进行维护，出具季度运维报告书，分析故障存在的问题，及时进行维护，并按照要求将相关资料及时整理归档。</w:t>
      </w:r>
    </w:p>
    <w:p>
      <w:pPr>
        <w:pStyle w:val="5"/>
        <w:ind w:left="0" w:leftChars="0" w:firstLine="640" w:firstLineChars="0"/>
      </w:pPr>
      <w:bookmarkStart w:id="17" w:name="_Toc103415888"/>
      <w:r>
        <w:t>项目产出情况</w:t>
      </w:r>
      <w:bookmarkEnd w:id="17"/>
    </w:p>
    <w:p>
      <w:pPr>
        <w:pStyle w:val="4"/>
        <w:ind w:firstLine="640"/>
      </w:pPr>
      <w:r>
        <w:rPr>
          <w:rFonts w:hint="eastAsia"/>
        </w:rPr>
        <w:t>1</w:t>
      </w:r>
      <w:r>
        <w:rPr>
          <w:rFonts w:hint="eastAsia"/>
          <w:lang w:eastAsia="zh-CN"/>
        </w:rPr>
        <w:t>.</w:t>
      </w:r>
      <w:r>
        <w:rPr>
          <w:rFonts w:hint="eastAsia"/>
        </w:rPr>
        <w:t>产出数量</w:t>
      </w:r>
    </w:p>
    <w:p>
      <w:pPr>
        <w:pStyle w:val="4"/>
        <w:ind w:firstLine="640"/>
        <w:rPr>
          <w:rFonts w:hint="eastAsia"/>
        </w:rPr>
      </w:pPr>
      <w:r>
        <w:rPr>
          <w:rFonts w:hint="eastAsia"/>
        </w:rPr>
        <w:t>举办3期全市思想政治工作示范培训班，培训单位180家、200余人次。</w:t>
      </w:r>
    </w:p>
    <w:p>
      <w:pPr>
        <w:pStyle w:val="4"/>
        <w:ind w:firstLine="640"/>
      </w:pPr>
      <w:r>
        <w:rPr>
          <w:rFonts w:hint="eastAsia"/>
        </w:rPr>
        <w:t>2</w:t>
      </w:r>
      <w:r>
        <w:rPr>
          <w:rFonts w:hint="eastAsia"/>
          <w:lang w:eastAsia="zh-CN"/>
        </w:rPr>
        <w:t>.</w:t>
      </w:r>
      <w:r>
        <w:rPr>
          <w:rFonts w:hint="eastAsia"/>
        </w:rPr>
        <w:t>产出质量</w:t>
      </w:r>
    </w:p>
    <w:p>
      <w:pPr>
        <w:pStyle w:val="4"/>
        <w:ind w:firstLine="640"/>
        <w:rPr>
          <w:rFonts w:hint="eastAsia" w:cs="仿宋_GB2312"/>
          <w:sz w:val="32"/>
          <w:szCs w:val="32"/>
          <w:lang w:eastAsia="zh-CN"/>
        </w:rPr>
      </w:pPr>
      <w:r>
        <w:rPr>
          <w:rFonts w:hint="eastAsia" w:eastAsia="仿宋_GB2312"/>
          <w:sz w:val="32"/>
          <w:szCs w:val="32"/>
        </w:rPr>
        <w:t>准确把握</w:t>
      </w:r>
      <w:r>
        <w:rPr>
          <w:rFonts w:hint="eastAsia" w:eastAsia="仿宋_GB2312" w:cs="仿宋_GB2312"/>
          <w:sz w:val="32"/>
          <w:szCs w:val="32"/>
        </w:rPr>
        <w:t>基层工作需求，聚焦</w:t>
      </w:r>
      <w:r>
        <w:rPr>
          <w:rFonts w:hint="eastAsia" w:cs="仿宋_GB2312"/>
          <w:sz w:val="32"/>
          <w:szCs w:val="32"/>
          <w:lang w:val="en-US" w:eastAsia="zh-CN"/>
        </w:rPr>
        <w:t>全市</w:t>
      </w:r>
      <w:r>
        <w:rPr>
          <w:rFonts w:hint="eastAsia" w:eastAsia="仿宋_GB2312" w:cs="仿宋_GB2312"/>
          <w:sz w:val="32"/>
          <w:szCs w:val="32"/>
        </w:rPr>
        <w:t>社区、企业、新社会组织思想政治工作重点领域和重点人群，提升基层组织宣传思想工作能力</w:t>
      </w:r>
      <w:r>
        <w:rPr>
          <w:rFonts w:hint="eastAsia" w:cs="仿宋_GB2312"/>
          <w:sz w:val="32"/>
          <w:szCs w:val="32"/>
          <w:lang w:val="en-US" w:eastAsia="zh-CN"/>
        </w:rPr>
        <w:t>和水平</w:t>
      </w:r>
      <w:r>
        <w:rPr>
          <w:rFonts w:hint="eastAsia" w:cs="仿宋_GB2312"/>
          <w:sz w:val="32"/>
          <w:szCs w:val="32"/>
          <w:lang w:eastAsia="zh-CN"/>
        </w:rPr>
        <w:t>。</w:t>
      </w:r>
    </w:p>
    <w:p>
      <w:pPr>
        <w:pStyle w:val="4"/>
        <w:ind w:firstLine="640"/>
      </w:pPr>
      <w:r>
        <w:rPr>
          <w:rFonts w:hint="eastAsia"/>
          <w:lang w:val="en-US" w:eastAsia="zh-CN"/>
        </w:rPr>
        <w:t>3.</w:t>
      </w:r>
      <w:r>
        <w:rPr>
          <w:rFonts w:hint="eastAsia"/>
        </w:rPr>
        <w:t>产出时效</w:t>
      </w:r>
    </w:p>
    <w:p>
      <w:pPr>
        <w:pStyle w:val="4"/>
        <w:ind w:firstLine="640"/>
        <w:rPr>
          <w:rFonts w:hint="default" w:eastAsia="仿宋_GB2312" w:cs="仿宋_GB2312"/>
          <w:kern w:val="2"/>
          <w:sz w:val="32"/>
          <w:szCs w:val="32"/>
          <w:lang w:val="en-US" w:eastAsia="zh-CN" w:bidi="ar-SA"/>
        </w:rPr>
      </w:pPr>
      <w:r>
        <w:rPr>
          <w:rFonts w:hint="eastAsia" w:hAnsi="仿宋_GB2312" w:cs="仿宋_GB2312"/>
          <w:kern w:val="2"/>
          <w:sz w:val="32"/>
          <w:szCs w:val="32"/>
          <w:lang w:val="en-US" w:eastAsia="zh-CN" w:bidi="ar-SA"/>
        </w:rPr>
        <w:t>每期</w:t>
      </w:r>
      <w:r>
        <w:rPr>
          <w:rFonts w:hint="eastAsia" w:ascii="仿宋_GB2312" w:hAnsi="仿宋_GB2312" w:eastAsia="仿宋_GB2312" w:cs="仿宋_GB2312"/>
          <w:kern w:val="2"/>
          <w:sz w:val="32"/>
          <w:szCs w:val="32"/>
          <w:lang w:val="en-US" w:eastAsia="zh-CN" w:bidi="ar-SA"/>
        </w:rPr>
        <w:t>培训课程</w:t>
      </w:r>
      <w:r>
        <w:rPr>
          <w:rFonts w:hint="eastAsia" w:eastAsia="仿宋_GB2312" w:cs="仿宋_GB2312"/>
          <w:kern w:val="2"/>
          <w:sz w:val="32"/>
          <w:szCs w:val="32"/>
          <w:lang w:val="en-US" w:eastAsia="zh-CN" w:bidi="ar-SA"/>
        </w:rPr>
        <w:t>之初</w:t>
      </w:r>
      <w:r>
        <w:rPr>
          <w:rFonts w:hint="eastAsia" w:ascii="仿宋_GB2312" w:hAnsi="仿宋_GB2312" w:eastAsia="仿宋_GB2312" w:cs="仿宋_GB2312"/>
          <w:kern w:val="2"/>
          <w:sz w:val="32"/>
          <w:szCs w:val="32"/>
          <w:lang w:val="en-US" w:eastAsia="zh-CN" w:bidi="ar-SA"/>
        </w:rPr>
        <w:t>，</w:t>
      </w:r>
      <w:r>
        <w:rPr>
          <w:rFonts w:hint="eastAsia" w:eastAsia="仿宋_GB2312" w:cs="仿宋_GB2312"/>
          <w:kern w:val="2"/>
          <w:sz w:val="32"/>
          <w:szCs w:val="32"/>
          <w:lang w:val="en-US" w:eastAsia="zh-CN" w:bidi="ar-SA"/>
        </w:rPr>
        <w:t>开展</w:t>
      </w:r>
      <w:r>
        <w:rPr>
          <w:rFonts w:hint="eastAsia" w:ascii="仿宋_GB2312" w:hAnsi="仿宋_GB2312" w:eastAsia="仿宋_GB2312" w:cs="仿宋_GB2312"/>
          <w:kern w:val="2"/>
          <w:sz w:val="32"/>
          <w:szCs w:val="32"/>
          <w:lang w:val="en-US" w:eastAsia="zh-CN" w:bidi="ar-SA"/>
        </w:rPr>
        <w:t>对受培对象有针对性的需求调研</w:t>
      </w:r>
      <w:r>
        <w:rPr>
          <w:rFonts w:hint="eastAsia"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了解</w:t>
      </w:r>
      <w:r>
        <w:rPr>
          <w:rFonts w:hint="eastAsia" w:eastAsia="仿宋_GB2312" w:cs="仿宋_GB2312"/>
          <w:kern w:val="2"/>
          <w:sz w:val="32"/>
          <w:szCs w:val="32"/>
          <w:lang w:val="en-US" w:eastAsia="zh-CN" w:bidi="ar-SA"/>
        </w:rPr>
        <w:t>行业领域</w:t>
      </w:r>
      <w:r>
        <w:rPr>
          <w:rFonts w:hint="eastAsia" w:ascii="仿宋_GB2312" w:hAnsi="仿宋_GB2312" w:eastAsia="仿宋_GB2312" w:cs="仿宋_GB2312"/>
          <w:kern w:val="2"/>
          <w:sz w:val="32"/>
          <w:szCs w:val="32"/>
          <w:lang w:val="en-US" w:eastAsia="zh-CN" w:bidi="ar-SA"/>
        </w:rPr>
        <w:t>的</w:t>
      </w:r>
      <w:r>
        <w:rPr>
          <w:rFonts w:hint="eastAsia" w:eastAsia="仿宋_GB2312" w:cs="仿宋_GB2312"/>
          <w:kern w:val="2"/>
          <w:sz w:val="32"/>
          <w:szCs w:val="32"/>
          <w:lang w:val="en-US" w:eastAsia="zh-CN" w:bidi="ar-SA"/>
        </w:rPr>
        <w:t>基本</w:t>
      </w:r>
      <w:r>
        <w:rPr>
          <w:rFonts w:hint="eastAsia" w:ascii="仿宋_GB2312" w:hAnsi="仿宋_GB2312" w:eastAsia="仿宋_GB2312" w:cs="仿宋_GB2312"/>
          <w:kern w:val="2"/>
          <w:sz w:val="32"/>
          <w:szCs w:val="32"/>
          <w:lang w:val="en-US" w:eastAsia="zh-CN" w:bidi="ar-SA"/>
        </w:rPr>
        <w:t>情况、组织</w:t>
      </w:r>
      <w:r>
        <w:rPr>
          <w:rFonts w:hint="eastAsia" w:eastAsia="仿宋_GB2312" w:cs="仿宋_GB2312"/>
          <w:kern w:val="2"/>
          <w:sz w:val="32"/>
          <w:szCs w:val="32"/>
          <w:lang w:val="en-US" w:eastAsia="zh-CN" w:bidi="ar-SA"/>
        </w:rPr>
        <w:t>架构</w:t>
      </w:r>
      <w:r>
        <w:rPr>
          <w:rFonts w:hint="eastAsia" w:ascii="仿宋_GB2312" w:hAnsi="仿宋_GB2312" w:eastAsia="仿宋_GB2312" w:cs="仿宋_GB2312"/>
          <w:kern w:val="2"/>
          <w:sz w:val="32"/>
          <w:szCs w:val="32"/>
          <w:lang w:val="en-US" w:eastAsia="zh-CN" w:bidi="ar-SA"/>
        </w:rPr>
        <w:t>、</w:t>
      </w:r>
      <w:r>
        <w:rPr>
          <w:rFonts w:hint="eastAsia" w:eastAsia="仿宋_GB2312" w:cs="仿宋_GB2312"/>
          <w:kern w:val="2"/>
          <w:sz w:val="32"/>
          <w:szCs w:val="32"/>
          <w:lang w:val="en-US" w:eastAsia="zh-CN" w:bidi="ar-SA"/>
        </w:rPr>
        <w:t>对</w:t>
      </w:r>
      <w:r>
        <w:rPr>
          <w:rFonts w:hint="eastAsia" w:ascii="仿宋_GB2312" w:hAnsi="仿宋_GB2312" w:eastAsia="仿宋_GB2312" w:cs="仿宋_GB2312"/>
          <w:kern w:val="2"/>
          <w:sz w:val="32"/>
          <w:szCs w:val="32"/>
          <w:lang w:val="en-US" w:eastAsia="zh-CN" w:bidi="ar-SA"/>
        </w:rPr>
        <w:t>培训的期望</w:t>
      </w:r>
      <w:r>
        <w:rPr>
          <w:rFonts w:hint="eastAsia" w:eastAsia="仿宋_GB2312" w:cs="仿宋_GB2312"/>
          <w:kern w:val="2"/>
          <w:sz w:val="32"/>
          <w:szCs w:val="32"/>
          <w:lang w:val="en-US" w:eastAsia="zh-CN" w:bidi="ar-SA"/>
        </w:rPr>
        <w:t>等；</w:t>
      </w:r>
      <w:r>
        <w:rPr>
          <w:rFonts w:hint="eastAsia" w:ascii="仿宋_GB2312" w:hAnsi="仿宋_GB2312" w:eastAsia="仿宋_GB2312" w:cs="仿宋_GB2312"/>
          <w:kern w:val="2"/>
          <w:sz w:val="32"/>
          <w:szCs w:val="32"/>
          <w:lang w:val="en-US" w:eastAsia="zh-CN" w:bidi="ar-SA"/>
        </w:rPr>
        <w:t>了解学员的岗位要求、对培训的期望、对培训的态度等</w:t>
      </w:r>
      <w:r>
        <w:rPr>
          <w:rFonts w:hint="eastAsia" w:eastAsia="仿宋_GB2312" w:cs="仿宋_GB2312"/>
          <w:kern w:val="2"/>
          <w:sz w:val="32"/>
          <w:szCs w:val="32"/>
          <w:lang w:val="en-US" w:eastAsia="zh-CN" w:bidi="ar-SA"/>
        </w:rPr>
        <w:t>，在此基础</w:t>
      </w:r>
      <w:r>
        <w:rPr>
          <w:rFonts w:hint="eastAsia" w:ascii="仿宋_GB2312" w:hAnsi="仿宋_GB2312" w:eastAsia="仿宋_GB2312" w:cs="仿宋_GB2312"/>
          <w:kern w:val="2"/>
          <w:sz w:val="32"/>
          <w:szCs w:val="32"/>
          <w:lang w:val="en-US" w:eastAsia="zh-CN" w:bidi="ar-SA"/>
        </w:rPr>
        <w:t>上，再针对本期学员的</w:t>
      </w:r>
      <w:r>
        <w:rPr>
          <w:rFonts w:hint="eastAsia" w:eastAsia="仿宋_GB2312" w:cs="仿宋_GB2312"/>
          <w:kern w:val="2"/>
          <w:sz w:val="32"/>
          <w:szCs w:val="32"/>
          <w:lang w:val="en-US" w:eastAsia="zh-CN" w:bidi="ar-SA"/>
        </w:rPr>
        <w:t>特点</w:t>
      </w:r>
      <w:r>
        <w:rPr>
          <w:rFonts w:hint="eastAsia" w:ascii="仿宋_GB2312" w:hAnsi="仿宋_GB2312" w:eastAsia="仿宋_GB2312" w:cs="仿宋_GB2312"/>
          <w:kern w:val="2"/>
          <w:sz w:val="32"/>
          <w:szCs w:val="32"/>
          <w:lang w:val="en-US" w:eastAsia="zh-CN" w:bidi="ar-SA"/>
        </w:rPr>
        <w:t>有针对性地</w:t>
      </w:r>
      <w:r>
        <w:rPr>
          <w:rFonts w:hint="eastAsia" w:eastAsia="仿宋_GB2312" w:cs="仿宋_GB2312"/>
          <w:kern w:val="2"/>
          <w:sz w:val="32"/>
          <w:szCs w:val="32"/>
          <w:lang w:val="en-US" w:eastAsia="zh-CN" w:bidi="ar-SA"/>
        </w:rPr>
        <w:t>设计</w:t>
      </w:r>
      <w:r>
        <w:rPr>
          <w:rFonts w:hint="eastAsia" w:ascii="仿宋_GB2312" w:hAnsi="仿宋_GB2312" w:eastAsia="仿宋_GB2312" w:cs="仿宋_GB2312"/>
          <w:kern w:val="2"/>
          <w:sz w:val="32"/>
          <w:szCs w:val="32"/>
          <w:lang w:val="en-US" w:eastAsia="zh-CN" w:bidi="ar-SA"/>
        </w:rPr>
        <w:t>课程，并安排相应的</w:t>
      </w:r>
      <w:r>
        <w:rPr>
          <w:rFonts w:hint="eastAsia" w:eastAsia="仿宋_GB2312" w:cs="仿宋_GB2312"/>
          <w:kern w:val="2"/>
          <w:sz w:val="32"/>
          <w:szCs w:val="32"/>
          <w:lang w:val="en-US" w:eastAsia="zh-CN" w:bidi="ar-SA"/>
        </w:rPr>
        <w:t>实践</w:t>
      </w:r>
      <w:r>
        <w:rPr>
          <w:rFonts w:hint="eastAsia" w:ascii="仿宋_GB2312" w:hAnsi="仿宋_GB2312" w:eastAsia="仿宋_GB2312" w:cs="仿宋_GB2312"/>
          <w:kern w:val="2"/>
          <w:sz w:val="32"/>
          <w:szCs w:val="32"/>
          <w:lang w:val="en-US" w:eastAsia="zh-CN" w:bidi="ar-SA"/>
        </w:rPr>
        <w:t>教学活动</w:t>
      </w:r>
      <w:r>
        <w:rPr>
          <w:rFonts w:hint="eastAsia" w:eastAsia="仿宋_GB2312" w:cs="仿宋_GB2312"/>
          <w:kern w:val="2"/>
          <w:sz w:val="32"/>
          <w:szCs w:val="32"/>
          <w:lang w:val="en-US" w:eastAsia="zh-CN" w:bidi="ar-SA"/>
        </w:rPr>
        <w:t>。</w:t>
      </w:r>
      <w:r>
        <w:rPr>
          <w:rFonts w:hint="eastAsia" w:cs="仿宋_GB2312"/>
          <w:kern w:val="2"/>
          <w:sz w:val="32"/>
          <w:szCs w:val="32"/>
          <w:lang w:val="en-US" w:eastAsia="zh-CN" w:bidi="ar-SA"/>
        </w:rPr>
        <w:t>每期培训班结束时，填写调查问卷。</w:t>
      </w:r>
    </w:p>
    <w:p>
      <w:pPr>
        <w:pStyle w:val="4"/>
        <w:ind w:firstLine="640"/>
      </w:pPr>
      <w:r>
        <w:rPr>
          <w:rFonts w:hint="eastAsia"/>
        </w:rPr>
        <w:t>4</w:t>
      </w:r>
      <w:r>
        <w:rPr>
          <w:rFonts w:hint="eastAsia"/>
          <w:lang w:eastAsia="zh-CN"/>
        </w:rPr>
        <w:t>.</w:t>
      </w:r>
      <w:r>
        <w:rPr>
          <w:rFonts w:hint="eastAsia"/>
        </w:rPr>
        <w:t>产出成本</w:t>
      </w:r>
    </w:p>
    <w:p>
      <w:pPr>
        <w:pStyle w:val="4"/>
        <w:ind w:firstLine="640"/>
      </w:pPr>
      <w:r>
        <w:rPr>
          <w:rFonts w:hint="eastAsia"/>
        </w:rPr>
        <w:t>市政研会</w:t>
      </w:r>
      <w:bookmarkStart w:id="18" w:name="_Hlk101965297"/>
      <w:r>
        <w:rPr>
          <w:rFonts w:hint="eastAsia"/>
          <w:lang w:val="en-US" w:eastAsia="zh-CN"/>
        </w:rPr>
        <w:t>举办全市思想政治工作示范培训</w:t>
      </w:r>
      <w:r>
        <w:rPr>
          <w:rFonts w:hint="eastAsia"/>
        </w:rPr>
        <w:t>项目</w:t>
      </w:r>
      <w:bookmarkEnd w:id="18"/>
      <w:r>
        <w:rPr>
          <w:rFonts w:hint="eastAsia"/>
        </w:rPr>
        <w:t>2</w:t>
      </w:r>
      <w:r>
        <w:t>02</w:t>
      </w:r>
      <w:r>
        <w:rPr>
          <w:rFonts w:hint="eastAsia"/>
          <w:lang w:val="en-US" w:eastAsia="zh-CN"/>
        </w:rPr>
        <w:t>3</w:t>
      </w:r>
      <w:r>
        <w:rPr>
          <w:rFonts w:hint="eastAsia"/>
        </w:rPr>
        <w:t>年收到北京市财政局拨付的预算资金</w:t>
      </w:r>
      <w:r>
        <w:rPr>
          <w:rFonts w:hint="eastAsia"/>
          <w:lang w:val="en-US" w:eastAsia="zh-CN"/>
        </w:rPr>
        <w:t>90.89万</w:t>
      </w:r>
      <w:r>
        <w:rPr>
          <w:rFonts w:hint="eastAsia"/>
        </w:rPr>
        <w:t>元，全部为财政资金，截止2</w:t>
      </w:r>
      <w:r>
        <w:t>02</w:t>
      </w:r>
      <w:r>
        <w:rPr>
          <w:rFonts w:hint="eastAsia"/>
          <w:lang w:val="en-US" w:eastAsia="zh-CN"/>
        </w:rPr>
        <w:t>3</w:t>
      </w:r>
      <w:r>
        <w:rPr>
          <w:rFonts w:hint="eastAsia"/>
        </w:rPr>
        <w:t>年1</w:t>
      </w:r>
      <w:r>
        <w:t>2</w:t>
      </w:r>
      <w:r>
        <w:rPr>
          <w:rFonts w:hint="eastAsia"/>
        </w:rPr>
        <w:t>月3</w:t>
      </w:r>
      <w:r>
        <w:t>1</w:t>
      </w:r>
      <w:r>
        <w:rPr>
          <w:rFonts w:hint="eastAsia"/>
        </w:rPr>
        <w:t>日，</w:t>
      </w:r>
      <w:r>
        <w:rPr>
          <w:rFonts w:hint="eastAsia"/>
          <w:lang w:val="en-US" w:eastAsia="zh-CN"/>
        </w:rPr>
        <w:t>举办全市思想政治工作示范培训班</w:t>
      </w:r>
      <w:r>
        <w:rPr>
          <w:rFonts w:hint="eastAsia"/>
        </w:rPr>
        <w:t>项目实际使用资金</w:t>
      </w:r>
      <w:r>
        <w:rPr>
          <w:rFonts w:hint="eastAsia"/>
          <w:highlight w:val="none"/>
          <w:lang w:val="en-US" w:eastAsia="zh-CN"/>
        </w:rPr>
        <w:t>40.31</w:t>
      </w:r>
      <w:r>
        <w:rPr>
          <w:rFonts w:hint="eastAsia"/>
        </w:rPr>
        <w:t>元，资金使用未超出预算，预算执行率</w:t>
      </w:r>
      <w:r>
        <w:rPr>
          <w:rFonts w:hint="eastAsia"/>
          <w:lang w:val="en-US" w:eastAsia="zh-CN"/>
        </w:rPr>
        <w:t>44.24</w:t>
      </w:r>
      <w:r>
        <w:rPr>
          <w:rFonts w:hint="eastAsia"/>
        </w:rPr>
        <w:t>%。</w:t>
      </w:r>
    </w:p>
    <w:p>
      <w:pPr>
        <w:pStyle w:val="5"/>
        <w:ind w:left="0" w:leftChars="0" w:firstLine="640" w:firstLineChars="0"/>
      </w:pPr>
      <w:bookmarkStart w:id="19" w:name="_Toc103415889"/>
      <w:r>
        <w:t>项目效益情况</w:t>
      </w:r>
      <w:bookmarkEnd w:id="19"/>
    </w:p>
    <w:p>
      <w:pPr>
        <w:pStyle w:val="4"/>
        <w:ind w:firstLine="640"/>
      </w:pPr>
      <w:r>
        <w:rPr>
          <w:rFonts w:hint="eastAsia"/>
        </w:rPr>
        <w:t>1、经济效益</w:t>
      </w:r>
    </w:p>
    <w:p>
      <w:pPr>
        <w:pStyle w:val="4"/>
        <w:ind w:firstLine="640"/>
        <w:rPr>
          <w:rFonts w:hint="default" w:eastAsia="仿宋_GB2312"/>
          <w:lang w:val="en-US" w:eastAsia="zh-CN"/>
        </w:rPr>
      </w:pPr>
      <w:r>
        <w:rPr>
          <w:rFonts w:hint="eastAsia"/>
          <w:lang w:val="en-US" w:eastAsia="zh-CN"/>
        </w:rPr>
        <w:t>思想政治工作是创造经济效益不可缺少的组成部分之一，它创造的价值是一种无形资产价值</w:t>
      </w:r>
      <w:r>
        <w:rPr>
          <w:rFonts w:hint="eastAsia"/>
        </w:rPr>
        <w:t>。</w:t>
      </w:r>
      <w:r>
        <w:rPr>
          <w:rFonts w:hint="eastAsia"/>
          <w:lang w:val="en-US" w:eastAsia="zh-CN"/>
        </w:rPr>
        <w:t>思想政治工作以有效地组织劳动因素，充分发挥劳动者的主观能动性和工作积极性为宗旨，并贯穿各行各业管理运营的全过程而开展工作的，同时，思想政治工作在化解基层矛盾、改进社会治理方面发挥了不可替代的作用，只不过思想政治工作产生经济效益的过程、形式和结果不像生产经营管理那样显而易见。</w:t>
      </w:r>
    </w:p>
    <w:p>
      <w:pPr>
        <w:pStyle w:val="4"/>
        <w:ind w:firstLine="640"/>
      </w:pPr>
      <w:r>
        <w:rPr>
          <w:rFonts w:hint="eastAsia"/>
        </w:rPr>
        <w:t>2、社会效益</w:t>
      </w:r>
    </w:p>
    <w:p>
      <w:pPr>
        <w:pStyle w:val="2"/>
        <w:spacing w:line="560" w:lineRule="exact"/>
        <w:ind w:firstLine="640" w:firstLineChars="200"/>
        <w:rPr>
          <w:rFonts w:eastAsia="仿宋_GB2312" w:cs="仿宋_GB2312"/>
          <w:sz w:val="32"/>
          <w:szCs w:val="32"/>
        </w:rPr>
      </w:pPr>
      <w:r>
        <w:rPr>
          <w:rFonts w:hint="eastAsia" w:eastAsia="仿宋_GB2312" w:cs="仿宋_GB2312"/>
          <w:sz w:val="32"/>
          <w:szCs w:val="32"/>
        </w:rPr>
        <w:t>一是基层干部对培训需求强烈，脱产培训机会难得，培训班在理论上“解渴”、实践中管用，教学方式和内容的设计符合基层干部的接受规律，受到学员好评，虽然工作繁忙，但学员们都能克服工学矛盾，积极主动完成培训任务。二是</w:t>
      </w:r>
      <w:r>
        <w:rPr>
          <w:rFonts w:hint="eastAsia" w:ascii="仿宋" w:hAnsi="仿宋" w:eastAsia="仿宋"/>
          <w:sz w:val="32"/>
          <w:szCs w:val="32"/>
        </w:rPr>
        <w:t>发挥好市政研会团结引领、联络协调、服务管理的基本职能，对于</w:t>
      </w:r>
      <w:r>
        <w:rPr>
          <w:rFonts w:hint="eastAsia" w:eastAsia="仿宋_GB2312" w:cs="仿宋_GB2312"/>
          <w:sz w:val="32"/>
          <w:szCs w:val="32"/>
        </w:rPr>
        <w:t>做好基层思想政治工作具有重要作用，通过举办专题培训班的形式，基层思想政治工作者加强了横向沟通和交流，扩大了</w:t>
      </w:r>
      <w:r>
        <w:rPr>
          <w:rFonts w:hint="eastAsia" w:cs="仿宋_GB2312"/>
          <w:sz w:val="32"/>
          <w:szCs w:val="32"/>
          <w:lang w:val="en-US" w:eastAsia="zh-CN"/>
        </w:rPr>
        <w:t>群团</w:t>
      </w:r>
      <w:r>
        <w:rPr>
          <w:rFonts w:hint="eastAsia" w:eastAsia="仿宋_GB2312" w:cs="仿宋_GB2312"/>
          <w:sz w:val="32"/>
          <w:szCs w:val="32"/>
        </w:rPr>
        <w:t>组织服务的覆盖面，增强思想政治工作的影响力和吸引力。</w:t>
      </w:r>
    </w:p>
    <w:p>
      <w:pPr>
        <w:pStyle w:val="4"/>
        <w:ind w:firstLine="640"/>
      </w:pPr>
      <w:r>
        <w:rPr>
          <w:rFonts w:hint="eastAsia"/>
        </w:rPr>
        <w:t>3、可持续效益</w:t>
      </w:r>
    </w:p>
    <w:p>
      <w:pPr>
        <w:pStyle w:val="4"/>
        <w:ind w:firstLine="640"/>
        <w:rPr>
          <w:rFonts w:hint="default" w:cs="仿宋_GB2312"/>
          <w:sz w:val="32"/>
          <w:szCs w:val="32"/>
          <w:lang w:val="en-US" w:eastAsia="zh-CN"/>
        </w:rPr>
      </w:pPr>
      <w:r>
        <w:rPr>
          <w:rFonts w:hint="eastAsia" w:cs="仿宋_GB2312"/>
          <w:sz w:val="32"/>
          <w:szCs w:val="32"/>
          <w:lang w:val="en-US" w:eastAsia="zh-CN"/>
        </w:rPr>
        <w:t>一</w:t>
      </w:r>
      <w:r>
        <w:rPr>
          <w:rFonts w:hint="eastAsia" w:eastAsia="仿宋_GB2312" w:cs="仿宋_GB2312"/>
          <w:sz w:val="32"/>
          <w:szCs w:val="32"/>
        </w:rPr>
        <w:t>是发现了很多优秀的基层干部，他们接触基层最具体的困难，</w:t>
      </w:r>
      <w:r>
        <w:rPr>
          <w:rFonts w:eastAsia="仿宋_GB2312" w:cs="仿宋_GB2312"/>
          <w:sz w:val="32"/>
          <w:szCs w:val="32"/>
        </w:rPr>
        <w:t>积累了很多行之有效的</w:t>
      </w:r>
      <w:r>
        <w:rPr>
          <w:rFonts w:hint="eastAsia" w:eastAsia="仿宋_GB2312" w:cs="仿宋_GB2312"/>
          <w:sz w:val="32"/>
          <w:szCs w:val="32"/>
        </w:rPr>
        <w:t>实践做法，值得我们重点关注和深入挖掘。</w:t>
      </w:r>
      <w:r>
        <w:rPr>
          <w:rFonts w:hint="eastAsia" w:cs="仿宋_GB2312"/>
          <w:sz w:val="32"/>
          <w:szCs w:val="32"/>
          <w:lang w:val="en-US" w:eastAsia="zh-CN"/>
        </w:rPr>
        <w:t>二是积累了思想政治工作专家资源，包括理论专家和实践高手，储备了思想政治工作师资力量，为提高首都基层思想政治工作者的能力和水平提供了有力支撑。</w:t>
      </w:r>
    </w:p>
    <w:p>
      <w:pPr>
        <w:pStyle w:val="4"/>
        <w:ind w:firstLine="640"/>
      </w:pPr>
      <w:r>
        <w:rPr>
          <w:rFonts w:hint="eastAsia"/>
        </w:rPr>
        <w:t>4、服务对象满意度</w:t>
      </w:r>
    </w:p>
    <w:p>
      <w:pPr>
        <w:pStyle w:val="4"/>
        <w:ind w:firstLine="640"/>
      </w:pPr>
      <w:r>
        <w:rPr>
          <w:rFonts w:hint="eastAsia"/>
          <w:lang w:val="en-US" w:eastAsia="zh-CN"/>
        </w:rPr>
        <w:t>培训班</w:t>
      </w:r>
      <w:r>
        <w:rPr>
          <w:rFonts w:hint="eastAsia"/>
        </w:rPr>
        <w:t>进行了满意度调查，对项目</w:t>
      </w:r>
      <w:r>
        <w:rPr>
          <w:rFonts w:hint="eastAsia"/>
          <w:lang w:val="en-US" w:eastAsia="zh-CN"/>
        </w:rPr>
        <w:t>运行满意度大等于90%</w:t>
      </w:r>
      <w:r>
        <w:rPr>
          <w:rFonts w:hint="eastAsia"/>
        </w:rPr>
        <w:t>的评价，但是</w:t>
      </w:r>
      <w:bookmarkStart w:id="20" w:name="_Hlk103371765"/>
      <w:r>
        <w:rPr>
          <w:rFonts w:hint="eastAsia"/>
        </w:rPr>
        <w:t>满意度调查问卷内容设计过于简单，</w:t>
      </w:r>
      <w:bookmarkStart w:id="21" w:name="OLE_LINK1"/>
      <w:r>
        <w:rPr>
          <w:rFonts w:hint="eastAsia"/>
        </w:rPr>
        <w:t>调查问卷仅对项目的服务质量、</w:t>
      </w:r>
      <w:r>
        <w:rPr>
          <w:rFonts w:hint="eastAsia"/>
          <w:lang w:val="en-US" w:eastAsia="zh-CN"/>
        </w:rPr>
        <w:t>授课教师</w:t>
      </w:r>
      <w:r>
        <w:rPr>
          <w:rFonts w:hint="eastAsia"/>
        </w:rPr>
        <w:t>表现进行了满意度调查，</w:t>
      </w:r>
      <w:bookmarkEnd w:id="20"/>
      <w:bookmarkEnd w:id="21"/>
      <w:r>
        <w:rPr>
          <w:rFonts w:hint="eastAsia"/>
        </w:rPr>
        <w:t>应充实满意度调查的内容，对项目的实施进行多方面的满意度调查，从而使财政资金的使用效果达到最大化。</w:t>
      </w:r>
    </w:p>
    <w:p>
      <w:pPr>
        <w:pStyle w:val="3"/>
        <w:ind w:firstLine="643"/>
      </w:pPr>
      <w:bookmarkStart w:id="22" w:name="_Toc103415890"/>
      <w:r>
        <w:t>主要经验及做法、</w:t>
      </w:r>
      <w:bookmarkStart w:id="23" w:name="_Hlk100778913"/>
      <w:r>
        <w:t>存在的问题及原因分析</w:t>
      </w:r>
      <w:bookmarkEnd w:id="22"/>
      <w:bookmarkEnd w:id="23"/>
    </w:p>
    <w:p>
      <w:pPr>
        <w:pStyle w:val="5"/>
        <w:ind w:left="0" w:leftChars="0" w:firstLine="640" w:firstLineChars="0"/>
      </w:pPr>
      <w:bookmarkStart w:id="24" w:name="_Toc103415891"/>
      <w:r>
        <w:rPr>
          <w:rFonts w:hint="eastAsia"/>
        </w:rPr>
        <w:t>主要经验及做法</w:t>
      </w:r>
      <w:bookmarkEnd w:id="24"/>
    </w:p>
    <w:p>
      <w:pPr>
        <w:spacing w:line="560" w:lineRule="exact"/>
        <w:ind w:firstLine="645"/>
        <w:rPr>
          <w:rFonts w:ascii="仿宋_GB2312" w:hAnsi="仿宋_GB2312" w:eastAsia="仿宋_GB2312" w:cs="仿宋_GB2312"/>
          <w:sz w:val="32"/>
          <w:szCs w:val="32"/>
        </w:rPr>
      </w:pPr>
      <w:bookmarkStart w:id="25" w:name="_Toc103415892"/>
      <w:r>
        <w:rPr>
          <w:rFonts w:hint="eastAsia" w:ascii="仿宋_GB2312" w:hAnsi="仿宋_GB2312" w:cs="仿宋_GB2312"/>
          <w:sz w:val="32"/>
          <w:szCs w:val="32"/>
          <w:lang w:val="en-US" w:eastAsia="zh-CN"/>
        </w:rPr>
        <w:t>培训班</w:t>
      </w:r>
      <w:r>
        <w:rPr>
          <w:rFonts w:ascii="仿宋_GB2312" w:hAnsi="仿宋_GB2312" w:eastAsia="仿宋_GB2312" w:cs="仿宋_GB2312"/>
          <w:sz w:val="32"/>
          <w:szCs w:val="32"/>
        </w:rPr>
        <w:t>得到市委宣传部的大力支持和悉心指导</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得到了市委组织部、市委统战部、市国资委、市委社会工委、十六区委宣传部的支持</w:t>
      </w:r>
      <w:r>
        <w:rPr>
          <w:rFonts w:hint="eastAsia" w:ascii="仿宋_GB2312" w:hAnsi="仿宋_GB2312" w:eastAsia="仿宋_GB2312" w:cs="仿宋_GB2312"/>
          <w:sz w:val="32"/>
          <w:szCs w:val="32"/>
        </w:rPr>
        <w:t>，市政研会高度重视、周密部署、统筹安排，具体做法如下</w:t>
      </w:r>
      <w:r>
        <w:rPr>
          <w:rFonts w:hint="eastAsia" w:eastAsia="仿宋_GB2312" w:cs="仿宋_GB2312"/>
          <w:sz w:val="32"/>
          <w:szCs w:val="32"/>
        </w:rPr>
        <w:t>：</w:t>
      </w:r>
      <w:r>
        <w:rPr>
          <w:rFonts w:hint="eastAsia" w:eastAsia="仿宋_GB2312" w:cs="仿宋_GB2312"/>
          <w:sz w:val="32"/>
          <w:szCs w:val="32"/>
          <w:lang w:val="en-US" w:eastAsia="zh-CN"/>
        </w:rPr>
        <w:t>一是</w:t>
      </w:r>
      <w:r>
        <w:rPr>
          <w:rFonts w:hint="eastAsia" w:eastAsia="仿宋_GB2312" w:cs="仿宋_GB2312"/>
          <w:sz w:val="32"/>
          <w:szCs w:val="32"/>
        </w:rPr>
        <w:t>加强领导，精心筹划稳步推进。精心制定全年培训工作计划，先后赴中国政研会、大兴区委党校、顺义区委党校</w:t>
      </w:r>
      <w:r>
        <w:rPr>
          <w:rFonts w:hint="eastAsia" w:eastAsia="仿宋_GB2312" w:cs="仿宋_GB2312"/>
          <w:sz w:val="32"/>
          <w:szCs w:val="32"/>
          <w:lang w:eastAsia="zh-CN"/>
        </w:rPr>
        <w:t>、</w:t>
      </w:r>
      <w:r>
        <w:rPr>
          <w:rFonts w:hint="eastAsia" w:eastAsia="仿宋_GB2312" w:cs="仿宋_GB2312"/>
          <w:sz w:val="32"/>
          <w:szCs w:val="32"/>
          <w:lang w:val="en-US" w:eastAsia="zh-CN"/>
        </w:rPr>
        <w:t>大兴区委党校</w:t>
      </w:r>
      <w:r>
        <w:rPr>
          <w:rFonts w:hint="eastAsia" w:eastAsia="仿宋_GB2312" w:cs="仿宋_GB2312"/>
          <w:sz w:val="32"/>
          <w:szCs w:val="32"/>
        </w:rPr>
        <w:t>等单位调研学习，在多次研讨的基础上认真安排培训学习内容和师资，明确专人专门负责培训工作，定期召开培训工作推进会，确保培训计划落到实处。</w:t>
      </w:r>
      <w:r>
        <w:rPr>
          <w:rFonts w:hint="eastAsia" w:eastAsia="仿宋_GB2312" w:cs="仿宋_GB2312"/>
          <w:sz w:val="32"/>
          <w:szCs w:val="32"/>
          <w:lang w:val="en-US" w:eastAsia="zh-CN"/>
        </w:rPr>
        <w:t>二是</w:t>
      </w:r>
      <w:r>
        <w:rPr>
          <w:rFonts w:hint="eastAsia" w:eastAsia="仿宋_GB2312" w:cs="仿宋_GB2312"/>
          <w:sz w:val="32"/>
          <w:szCs w:val="32"/>
        </w:rPr>
        <w:t>聚焦需求，探索实用有效的培训方式和内容。根据思想政治工作中的难点和堵点，坚持提升理论水平与加强业务能力相结合，邀请专家就习近平总书记关于新时代思想政治工作重要论述、</w:t>
      </w:r>
      <w:r>
        <w:rPr>
          <w:rFonts w:hint="eastAsia" w:eastAsia="仿宋_GB2312" w:cs="仿宋_GB2312"/>
          <w:sz w:val="32"/>
          <w:szCs w:val="32"/>
          <w:lang w:val="en-US" w:eastAsia="zh-CN"/>
        </w:rPr>
        <w:t>二十大解读、</w:t>
      </w:r>
      <w:r>
        <w:rPr>
          <w:rFonts w:hint="eastAsia" w:eastAsia="仿宋_GB2312" w:cs="仿宋_GB2312"/>
          <w:sz w:val="32"/>
          <w:szCs w:val="32"/>
        </w:rPr>
        <w:t>牢牢掌握意识形态工作领导权等作专题讲座。同时，在案例教学中，以问题为导向，就进行分享。培训内容既精准“解疑释惑”又贴近学员工作实际，引发学员共鸣，提升了培训的实效性。</w:t>
      </w:r>
      <w:r>
        <w:rPr>
          <w:rFonts w:hint="eastAsia" w:eastAsia="仿宋_GB2312" w:cs="仿宋_GB2312"/>
          <w:sz w:val="32"/>
          <w:szCs w:val="32"/>
          <w:lang w:val="en-US" w:eastAsia="zh-CN"/>
        </w:rPr>
        <w:t>三是</w:t>
      </w:r>
      <w:r>
        <w:rPr>
          <w:rFonts w:hint="eastAsia" w:eastAsia="仿宋_GB2312" w:cs="仿宋_GB2312"/>
          <w:sz w:val="32"/>
          <w:szCs w:val="32"/>
        </w:rPr>
        <w:t>搭建平台，在交流互动中促进思想政治工作提质增效。设置分组讨论和交流发言环节，学员们围绕深入学习贯彻习近</w:t>
      </w:r>
      <w:r>
        <w:rPr>
          <w:rFonts w:hint="eastAsia" w:ascii="仿宋_GB2312" w:hAnsi="仿宋_GB2312" w:eastAsia="仿宋_GB2312" w:cs="仿宋_GB2312"/>
          <w:sz w:val="32"/>
          <w:szCs w:val="32"/>
        </w:rPr>
        <w:t>平新时代中国特色社会主义思想，加强和改进思想政治工作展开热烈研讨，为学员们在今后工作中有效开展思想政治工作提供了更广阔思路，同时也在交流中加深了彼此的认识，增进了相互的感情，积累了今后在工作领域达成更多合作的基础。</w:t>
      </w:r>
    </w:p>
    <w:p>
      <w:pPr>
        <w:pStyle w:val="5"/>
        <w:ind w:left="0" w:leftChars="0" w:firstLine="640" w:firstLineChars="0"/>
      </w:pPr>
      <w:r>
        <w:rPr>
          <w:rFonts w:hint="eastAsia"/>
        </w:rPr>
        <w:t>存在的问题及原因分析</w:t>
      </w:r>
      <w:bookmarkEnd w:id="25"/>
    </w:p>
    <w:p>
      <w:pPr>
        <w:pStyle w:val="4"/>
        <w:ind w:firstLine="640"/>
      </w:pPr>
      <w:r>
        <w:t>1</w:t>
      </w:r>
      <w:r>
        <w:rPr>
          <w:rFonts w:hint="eastAsia"/>
        </w:rPr>
        <w:t>、项目绩效目标细化程度不足，质量指标、时效指标、进度指标等缺少细化评定内容，指标值设置不够清晰、量化，可衡量性不足。</w:t>
      </w:r>
    </w:p>
    <w:p>
      <w:pPr>
        <w:pStyle w:val="4"/>
        <w:ind w:firstLine="640"/>
      </w:pPr>
      <w:r>
        <w:t>2</w:t>
      </w:r>
      <w:r>
        <w:rPr>
          <w:rFonts w:hint="eastAsia"/>
        </w:rPr>
        <w:t>、项目管理制度不够完善，反映绩效成果效益资料收集不完善，无法充分反映项目实施情况。</w:t>
      </w:r>
    </w:p>
    <w:p>
      <w:pPr>
        <w:pStyle w:val="4"/>
        <w:ind w:firstLine="640"/>
      </w:pPr>
      <w:r>
        <w:rPr>
          <w:rFonts w:hint="eastAsia"/>
        </w:rPr>
        <w:t>3、项目满意度调查问卷内容设计过于简单，调查问卷仅对项目的服务质量、</w:t>
      </w:r>
      <w:r>
        <w:rPr>
          <w:rFonts w:hint="eastAsia"/>
          <w:lang w:val="en-US" w:eastAsia="zh-CN"/>
        </w:rPr>
        <w:t>授课教师的</w:t>
      </w:r>
      <w:r>
        <w:rPr>
          <w:rFonts w:hint="eastAsia"/>
        </w:rPr>
        <w:t>表现进行了满意度调查，不能充分反映项目实施的效果。</w:t>
      </w:r>
    </w:p>
    <w:p>
      <w:pPr>
        <w:pStyle w:val="3"/>
        <w:ind w:firstLine="643"/>
      </w:pPr>
      <w:bookmarkStart w:id="26" w:name="_Toc103415893"/>
      <w:r>
        <w:t>有关建议</w:t>
      </w:r>
      <w:bookmarkEnd w:id="26"/>
    </w:p>
    <w:p>
      <w:pPr>
        <w:pStyle w:val="4"/>
        <w:ind w:firstLine="640"/>
      </w:pPr>
      <w:r>
        <w:t>1</w:t>
      </w:r>
      <w:r>
        <w:rPr>
          <w:rFonts w:hint="eastAsia"/>
        </w:rPr>
        <w:t>、进一步强化项目绩效目标制定的科学性和完整性，保证预算明细与项目实际实施明细一致，提高预算管理与财政支出绩效管理意识，对财政资金支持的项目注重目标设定的科学合理性，强化对产出指标的量化分析。</w:t>
      </w:r>
    </w:p>
    <w:p>
      <w:pPr>
        <w:pStyle w:val="4"/>
        <w:ind w:firstLine="640"/>
      </w:pPr>
      <w:r>
        <w:t>2</w:t>
      </w:r>
      <w:r>
        <w:rPr>
          <w:rFonts w:hint="eastAsia"/>
        </w:rPr>
        <w:t>、进一步加强项目绩效过程资料的收集，制定完善的项目管理制度及详细的监督管理机制，加强项目实施过程的监督管理。</w:t>
      </w:r>
    </w:p>
    <w:p>
      <w:pPr>
        <w:pStyle w:val="4"/>
        <w:ind w:firstLine="640"/>
      </w:pPr>
      <w:r>
        <w:t>3</w:t>
      </w:r>
      <w:r>
        <w:rPr>
          <w:rFonts w:hint="eastAsia"/>
        </w:rPr>
        <w:t>、进一步完善满意度调查问卷的内容，使调查内容更加全面具体，能够及时反应绩效管理过程中存在的问题，从而能够及时提出解决措施，逐步提升项目绩效管理的精细化水平。</w:t>
      </w:r>
    </w:p>
    <w:p>
      <w:pPr>
        <w:pStyle w:val="3"/>
        <w:ind w:firstLine="643"/>
      </w:pPr>
      <w:bookmarkStart w:id="27" w:name="_Toc103415894"/>
      <w:r>
        <w:t>其他需要说明的问题</w:t>
      </w:r>
      <w:bookmarkEnd w:id="27"/>
    </w:p>
    <w:p>
      <w:pPr>
        <w:pStyle w:val="4"/>
        <w:ind w:firstLine="640"/>
      </w:pPr>
      <w:r>
        <w:rPr>
          <w:rFonts w:hint="eastAsia"/>
        </w:rPr>
        <w:t>无。</w:t>
      </w:r>
    </w:p>
    <w:p>
      <w:pPr>
        <w:pStyle w:val="3"/>
        <w:ind w:firstLine="643"/>
      </w:pPr>
      <w:bookmarkStart w:id="28" w:name="_Toc103415895"/>
      <w:r>
        <w:rPr>
          <w:rFonts w:hint="eastAsia"/>
        </w:rPr>
        <w:t>附件</w:t>
      </w:r>
      <w:bookmarkEnd w:id="28"/>
    </w:p>
    <w:p>
      <w:pPr>
        <w:pStyle w:val="4"/>
        <w:ind w:firstLine="640" w:firstLineChars="0"/>
      </w:pPr>
      <w:r>
        <w:rPr>
          <w:rFonts w:hint="eastAsia"/>
        </w:rPr>
        <w:t>1.专家意见汇总书</w:t>
      </w:r>
    </w:p>
    <w:p>
      <w:pPr>
        <w:pStyle w:val="4"/>
        <w:ind w:firstLine="640"/>
      </w:pPr>
      <w:r>
        <w:t>2.</w:t>
      </w:r>
      <w:r>
        <w:rPr>
          <w:rFonts w:hint="eastAsia"/>
        </w:rPr>
        <w:t>项目绩效目标完成情况及收支明细表</w:t>
      </w:r>
    </w:p>
    <w:p>
      <w:pPr>
        <w:pStyle w:val="4"/>
        <w:ind w:firstLine="640"/>
      </w:pPr>
      <w:r>
        <w:t>3.</w:t>
      </w:r>
      <w:r>
        <w:rPr>
          <w:rFonts w:hint="eastAsia"/>
        </w:rPr>
        <w:t>指标体系及打分情况表</w:t>
      </w:r>
    </w:p>
    <w:p>
      <w:pPr>
        <w:pStyle w:val="4"/>
        <w:ind w:firstLine="640"/>
      </w:pPr>
      <w:r>
        <w:t>4</w:t>
      </w:r>
      <w:r>
        <w:rPr>
          <w:rFonts w:hint="eastAsia"/>
        </w:rPr>
        <w:t>.反映绩效的相关图片（扉页位置）</w:t>
      </w:r>
      <w:r>
        <w:br w:type="page"/>
      </w:r>
    </w:p>
    <w:p>
      <w:pPr>
        <w:pStyle w:val="4"/>
        <w:ind w:firstLine="480"/>
        <w:rPr>
          <w:rFonts w:ascii="黑体" w:hAnsi="黑体" w:eastAsia="黑体" w:cs="宋体"/>
          <w:color w:val="000000"/>
          <w:kern w:val="0"/>
          <w:sz w:val="24"/>
          <w:szCs w:val="24"/>
        </w:rPr>
      </w:pPr>
      <w:bookmarkStart w:id="29" w:name="_Hlk103861357"/>
      <w:r>
        <w:rPr>
          <w:rFonts w:hint="eastAsia" w:ascii="黑体" w:hAnsi="黑体" w:eastAsia="黑体" w:cs="宋体"/>
          <w:color w:val="000000"/>
          <w:kern w:val="0"/>
          <w:sz w:val="24"/>
          <w:szCs w:val="24"/>
        </w:rPr>
        <w:t>附件</w:t>
      </w:r>
      <w:r>
        <w:rPr>
          <w:rFonts w:ascii="黑体" w:hAnsi="黑体" w:eastAsia="黑体" w:cs="宋体"/>
          <w:color w:val="000000"/>
          <w:kern w:val="0"/>
          <w:sz w:val="24"/>
          <w:szCs w:val="24"/>
        </w:rPr>
        <w:t>1</w:t>
      </w:r>
    </w:p>
    <w:bookmarkEnd w:id="29"/>
    <w:p>
      <w:pPr>
        <w:spacing w:line="360" w:lineRule="auto"/>
        <w:ind w:firstLine="723"/>
        <w:jc w:val="center"/>
        <w:outlineLvl w:val="0"/>
        <w:rPr>
          <w:rFonts w:ascii="仿宋_GB2312" w:eastAsia="黑体"/>
          <w:b/>
          <w:bCs/>
          <w:sz w:val="36"/>
          <w:szCs w:val="36"/>
        </w:rPr>
      </w:pPr>
    </w:p>
    <w:p>
      <w:pPr>
        <w:spacing w:line="360" w:lineRule="auto"/>
        <w:ind w:firstLine="723"/>
        <w:jc w:val="center"/>
        <w:outlineLvl w:val="0"/>
        <w:rPr>
          <w:rFonts w:ascii="仿宋_GB2312" w:eastAsia="黑体"/>
          <w:b/>
          <w:bCs/>
          <w:sz w:val="36"/>
          <w:szCs w:val="36"/>
        </w:rPr>
      </w:pPr>
    </w:p>
    <w:p>
      <w:pPr>
        <w:spacing w:line="360" w:lineRule="auto"/>
        <w:ind w:firstLine="723"/>
        <w:jc w:val="center"/>
        <w:outlineLvl w:val="0"/>
        <w:rPr>
          <w:rFonts w:hint="eastAsia" w:ascii="仿宋_GB2312" w:eastAsia="黑体"/>
          <w:b/>
          <w:bCs/>
          <w:sz w:val="36"/>
          <w:szCs w:val="36"/>
          <w:lang w:eastAsia="zh-CN"/>
        </w:rPr>
      </w:pPr>
      <w:r>
        <w:rPr>
          <w:rFonts w:hint="eastAsia" w:ascii="仿宋_GB2312" w:eastAsia="黑体"/>
          <w:b/>
          <w:bCs/>
          <w:sz w:val="36"/>
          <w:szCs w:val="36"/>
        </w:rPr>
        <w:t>北京市项目支出绩效评价</w:t>
      </w:r>
    </w:p>
    <w:p>
      <w:pPr>
        <w:spacing w:line="360" w:lineRule="auto"/>
        <w:ind w:firstLine="723"/>
        <w:jc w:val="center"/>
        <w:outlineLvl w:val="0"/>
        <w:rPr>
          <w:rFonts w:hint="eastAsia" w:ascii="黑体" w:eastAsia="黑体"/>
          <w:b/>
          <w:spacing w:val="20"/>
          <w:sz w:val="36"/>
          <w:szCs w:val="36"/>
          <w:lang w:eastAsia="zh-CN"/>
        </w:rPr>
      </w:pPr>
      <w:r>
        <w:rPr>
          <w:rFonts w:hint="eastAsia" w:ascii="黑体" w:eastAsia="黑体"/>
          <w:b/>
          <w:spacing w:val="20"/>
          <w:sz w:val="36"/>
          <w:szCs w:val="36"/>
        </w:rPr>
        <w:t>专家意见汇总书</w:t>
      </w:r>
    </w:p>
    <w:p>
      <w:pPr>
        <w:spacing w:line="360" w:lineRule="auto"/>
        <w:ind w:firstLine="723"/>
        <w:jc w:val="center"/>
        <w:outlineLvl w:val="0"/>
        <w:rPr>
          <w:rFonts w:hint="eastAsia" w:ascii="黑体" w:eastAsia="黑体"/>
          <w:b/>
          <w:spacing w:val="20"/>
          <w:sz w:val="36"/>
          <w:szCs w:val="36"/>
          <w:lang w:eastAsia="zh-CN"/>
        </w:rPr>
      </w:pPr>
    </w:p>
    <w:p>
      <w:pPr>
        <w:spacing w:line="360" w:lineRule="auto"/>
        <w:ind w:firstLine="960"/>
        <w:jc w:val="center"/>
        <w:rPr>
          <w:rFonts w:ascii="黑体" w:eastAsia="黑体"/>
          <w:sz w:val="48"/>
          <w:szCs w:val="48"/>
        </w:rPr>
      </w:pPr>
    </w:p>
    <w:p>
      <w:pPr>
        <w:spacing w:line="360" w:lineRule="auto"/>
        <w:ind w:firstLine="960"/>
        <w:jc w:val="center"/>
        <w:rPr>
          <w:rFonts w:ascii="黑体" w:eastAsia="黑体"/>
          <w:sz w:val="48"/>
          <w:szCs w:val="48"/>
        </w:rPr>
      </w:pPr>
    </w:p>
    <w:p>
      <w:pPr>
        <w:spacing w:line="360" w:lineRule="auto"/>
        <w:ind w:firstLine="960"/>
        <w:jc w:val="center"/>
        <w:rPr>
          <w:rFonts w:ascii="黑体" w:eastAsia="黑体"/>
          <w:sz w:val="48"/>
          <w:szCs w:val="48"/>
        </w:rPr>
      </w:pPr>
    </w:p>
    <w:p>
      <w:pPr>
        <w:spacing w:line="360" w:lineRule="auto"/>
        <w:ind w:firstLine="960"/>
        <w:jc w:val="center"/>
        <w:rPr>
          <w:rFonts w:ascii="黑体" w:eastAsia="黑体"/>
          <w:sz w:val="48"/>
          <w:szCs w:val="48"/>
        </w:rPr>
      </w:pPr>
    </w:p>
    <w:p>
      <w:pPr>
        <w:spacing w:line="360" w:lineRule="auto"/>
        <w:ind w:firstLine="960"/>
        <w:jc w:val="center"/>
        <w:rPr>
          <w:rFonts w:ascii="黑体" w:eastAsia="黑体"/>
          <w:sz w:val="48"/>
          <w:szCs w:val="48"/>
        </w:rPr>
      </w:pPr>
    </w:p>
    <w:p>
      <w:pPr>
        <w:snapToGrid w:val="0"/>
        <w:spacing w:line="420" w:lineRule="auto"/>
        <w:ind w:right="120" w:firstLine="1420" w:firstLineChars="592"/>
        <w:rPr>
          <w:rFonts w:ascii="宋体" w:hAnsi="宋体"/>
          <w:sz w:val="24"/>
          <w:u w:val="single"/>
        </w:rPr>
      </w:pPr>
      <w:r>
        <w:rPr>
          <w:rFonts w:hint="eastAsia" w:ascii="宋体" w:hAnsi="宋体"/>
          <w:sz w:val="24"/>
        </w:rPr>
        <w:t>项目名称：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sz w:val="24"/>
          <w:szCs w:val="24"/>
          <w:u w:val="single"/>
        </w:rPr>
        <w:t>全市思想政治工作示范培训</w:t>
      </w:r>
      <w:r>
        <w:rPr>
          <w:rFonts w:hint="eastAsia" w:ascii="宋体" w:hAnsi="宋体"/>
          <w:sz w:val="24"/>
          <w:szCs w:val="24"/>
          <w:u w:val="single"/>
        </w:rPr>
        <w:t xml:space="preserve"> </w:t>
      </w:r>
      <w:r>
        <w:rPr>
          <w:rFonts w:hint="eastAsia" w:ascii="宋体" w:hAnsi="宋体"/>
          <w:sz w:val="24"/>
          <w:u w:val="single"/>
        </w:rPr>
        <w:t xml:space="preserve">    </w:t>
      </w:r>
    </w:p>
    <w:p>
      <w:pPr>
        <w:snapToGrid w:val="0"/>
        <w:spacing w:line="420" w:lineRule="auto"/>
        <w:ind w:right="120" w:firstLine="1420" w:firstLineChars="592"/>
        <w:rPr>
          <w:rFonts w:ascii="宋体" w:hAnsi="宋体"/>
          <w:sz w:val="24"/>
        </w:rPr>
      </w:pPr>
      <w:r>
        <w:rPr>
          <w:rFonts w:hint="eastAsia" w:ascii="宋体" w:hAnsi="宋体"/>
          <w:sz w:val="24"/>
        </w:rPr>
        <w:t>项目单位：</w:t>
      </w:r>
      <w:r>
        <w:rPr>
          <w:rFonts w:ascii="宋体" w:hAnsi="宋体"/>
          <w:sz w:val="24"/>
          <w:u w:val="single"/>
        </w:rPr>
        <w:t xml:space="preserve">     </w:t>
      </w:r>
      <w:r>
        <w:rPr>
          <w:rFonts w:hint="eastAsia" w:ascii="宋体" w:hAnsi="宋体"/>
          <w:sz w:val="24"/>
          <w:u w:val="single"/>
        </w:rPr>
        <w:t>北京市思想政治工作研究会</w:t>
      </w:r>
      <w:r>
        <w:rPr>
          <w:rFonts w:ascii="宋体" w:hAnsi="宋体"/>
          <w:sz w:val="24"/>
          <w:u w:val="single"/>
        </w:rPr>
        <w:t xml:space="preserve">    </w:t>
      </w:r>
    </w:p>
    <w:p>
      <w:pPr>
        <w:snapToGrid w:val="0"/>
        <w:spacing w:line="420" w:lineRule="auto"/>
        <w:ind w:right="120" w:firstLine="1420" w:firstLineChars="592"/>
        <w:rPr>
          <w:rFonts w:ascii="宋体" w:hAnsi="宋体"/>
          <w:sz w:val="24"/>
          <w:u w:val="single"/>
        </w:rPr>
      </w:pPr>
      <w:r>
        <w:rPr>
          <w:rFonts w:hint="eastAsia" w:ascii="宋体" w:hAnsi="宋体"/>
          <w:sz w:val="24"/>
        </w:rPr>
        <w:t>主管部门：</w:t>
      </w:r>
      <w:r>
        <w:rPr>
          <w:rFonts w:ascii="宋体" w:hAnsi="宋体"/>
          <w:sz w:val="24"/>
          <w:u w:val="single"/>
        </w:rPr>
        <w:t xml:space="preserve">     </w:t>
      </w:r>
      <w:r>
        <w:rPr>
          <w:rFonts w:hint="eastAsia" w:ascii="宋体" w:hAnsi="宋体"/>
          <w:sz w:val="24"/>
          <w:u w:val="single"/>
        </w:rPr>
        <w:t>北京市思想政治工作研究会</w:t>
      </w:r>
      <w:r>
        <w:rPr>
          <w:rFonts w:ascii="宋体" w:hAnsi="宋体"/>
          <w:sz w:val="24"/>
          <w:u w:val="single"/>
        </w:rPr>
        <w:t xml:space="preserve">    </w:t>
      </w:r>
    </w:p>
    <w:p>
      <w:pPr>
        <w:snapToGrid w:val="0"/>
        <w:spacing w:line="420" w:lineRule="auto"/>
        <w:ind w:firstLine="1440" w:firstLineChars="600"/>
        <w:rPr>
          <w:rFonts w:ascii="宋体" w:hAnsi="宋体"/>
          <w:sz w:val="24"/>
        </w:rPr>
      </w:pPr>
      <w:r>
        <w:rPr>
          <w:rFonts w:hint="eastAsia" w:ascii="宋体" w:hAnsi="宋体"/>
          <w:sz w:val="24"/>
        </w:rPr>
        <w:t>评价时间：</w:t>
      </w:r>
      <w:r>
        <w:rPr>
          <w:rFonts w:ascii="宋体" w:hAnsi="宋体"/>
          <w:sz w:val="24"/>
          <w:u w:val="single"/>
        </w:rPr>
        <w:t xml:space="preserve">   202</w:t>
      </w:r>
      <w:r>
        <w:rPr>
          <w:rFonts w:hint="eastAsia" w:ascii="宋体" w:hAnsi="宋体"/>
          <w:sz w:val="24"/>
          <w:u w:val="single"/>
          <w:lang w:val="en-US" w:eastAsia="zh-CN"/>
        </w:rPr>
        <w:t>4</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5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p>
    <w:p>
      <w:pPr>
        <w:widowControl/>
        <w:spacing w:before="0" w:after="0" w:line="240" w:lineRule="auto"/>
        <w:ind w:firstLine="0" w:firstLineChars="0"/>
        <w:jc w:val="left"/>
        <w:rPr>
          <w:rFonts w:ascii="黑体" w:hAnsi="黑体" w:eastAsia="黑体" w:cs="宋体"/>
          <w:color w:val="000000"/>
          <w:kern w:val="0"/>
          <w:sz w:val="24"/>
          <w:szCs w:val="24"/>
        </w:rPr>
      </w:pPr>
      <w:r>
        <w:rPr>
          <w:rFonts w:ascii="黑体" w:hAnsi="黑体" w:eastAsia="黑体" w:cs="宋体"/>
          <w:color w:val="000000"/>
          <w:kern w:val="0"/>
          <w:sz w:val="24"/>
          <w:szCs w:val="24"/>
        </w:rPr>
        <w:br w:type="page"/>
      </w:r>
    </w:p>
    <w:tbl>
      <w:tblPr>
        <w:tblStyle w:val="18"/>
        <w:tblW w:w="5000" w:type="pct"/>
        <w:tblInd w:w="0" w:type="dxa"/>
        <w:tblLayout w:type="autofit"/>
        <w:tblCellMar>
          <w:top w:w="0" w:type="dxa"/>
          <w:left w:w="108" w:type="dxa"/>
          <w:bottom w:w="0" w:type="dxa"/>
          <w:right w:w="108" w:type="dxa"/>
        </w:tblCellMar>
      </w:tblPr>
      <w:tblGrid>
        <w:gridCol w:w="2777"/>
        <w:gridCol w:w="1233"/>
        <w:gridCol w:w="1220"/>
        <w:gridCol w:w="1220"/>
        <w:gridCol w:w="981"/>
        <w:gridCol w:w="1097"/>
      </w:tblGrid>
      <w:tr>
        <w:tblPrEx>
          <w:tblCellMar>
            <w:top w:w="0" w:type="dxa"/>
            <w:left w:w="108" w:type="dxa"/>
            <w:bottom w:w="0" w:type="dxa"/>
            <w:right w:w="108" w:type="dxa"/>
          </w:tblCellMar>
        </w:tblPrEx>
        <w:trPr>
          <w:trHeight w:val="863" w:hRule="atLeast"/>
        </w:trPr>
        <w:tc>
          <w:tcPr>
            <w:tcW w:w="5000" w:type="pct"/>
            <w:gridSpan w:val="6"/>
            <w:tcBorders>
              <w:top w:val="nil"/>
              <w:left w:val="nil"/>
              <w:bottom w:val="single" w:color="auto" w:sz="4" w:space="0"/>
              <w:right w:val="nil"/>
            </w:tcBorders>
            <w:shd w:val="clear" w:color="auto" w:fill="auto"/>
            <w:noWrap/>
            <w:vAlign w:val="center"/>
          </w:tcPr>
          <w:p>
            <w:pPr>
              <w:widowControl/>
              <w:spacing w:before="0" w:after="0" w:line="240" w:lineRule="auto"/>
              <w:ind w:firstLine="643"/>
              <w:jc w:val="left"/>
              <w:rPr>
                <w:rFonts w:ascii="宋体" w:hAnsi="宋体" w:eastAsia="宋体" w:cs="宋体"/>
                <w:b/>
                <w:bCs/>
                <w:kern w:val="0"/>
              </w:rPr>
            </w:pPr>
            <w:bookmarkStart w:id="30" w:name="RANGE!A1:F19"/>
            <w:r>
              <w:rPr>
                <w:rFonts w:hint="eastAsia" w:ascii="宋体" w:hAnsi="宋体" w:eastAsia="宋体" w:cs="宋体"/>
                <w:b/>
                <w:bCs/>
                <w:kern w:val="0"/>
              </w:rPr>
              <w:t>一、专家评分汇总表</w:t>
            </w:r>
            <w:bookmarkEnd w:id="30"/>
          </w:p>
        </w:tc>
      </w:tr>
      <w:tr>
        <w:tblPrEx>
          <w:tblCellMar>
            <w:top w:w="0" w:type="dxa"/>
            <w:left w:w="108" w:type="dxa"/>
            <w:bottom w:w="0" w:type="dxa"/>
            <w:right w:w="108" w:type="dxa"/>
          </w:tblCellMar>
        </w:tblPrEx>
        <w:trPr>
          <w:trHeight w:val="923" w:hRule="atLeast"/>
        </w:trPr>
        <w:tc>
          <w:tcPr>
            <w:tcW w:w="23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评价指标及分值</w:t>
            </w:r>
          </w:p>
        </w:tc>
        <w:tc>
          <w:tcPr>
            <w:tcW w:w="2647"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专家评价计分</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考评指标</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分值</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eastAsia" w:ascii="黑体" w:hAnsi="黑体" w:eastAsia="黑体" w:cs="宋体"/>
                <w:kern w:val="0"/>
                <w:sz w:val="22"/>
                <w:szCs w:val="22"/>
                <w:lang w:eastAsia="zh-CN"/>
              </w:rPr>
            </w:pPr>
            <w:r>
              <w:rPr>
                <w:rFonts w:hint="eastAsia" w:ascii="黑体" w:hAnsi="黑体" w:eastAsia="黑体" w:cs="宋体"/>
                <w:kern w:val="0"/>
                <w:sz w:val="22"/>
                <w:szCs w:val="22"/>
                <w:lang w:eastAsia="zh-CN"/>
              </w:rPr>
              <w:t>许清</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eastAsia" w:ascii="黑体" w:hAnsi="黑体" w:eastAsia="黑体" w:cs="宋体"/>
                <w:kern w:val="0"/>
                <w:sz w:val="22"/>
                <w:szCs w:val="22"/>
                <w:lang w:eastAsia="zh-CN"/>
              </w:rPr>
            </w:pPr>
            <w:r>
              <w:rPr>
                <w:rFonts w:hint="eastAsia" w:ascii="黑体" w:hAnsi="黑体" w:eastAsia="黑体" w:cs="宋体"/>
                <w:kern w:val="0"/>
                <w:sz w:val="22"/>
                <w:szCs w:val="22"/>
                <w:lang w:eastAsia="zh-CN"/>
              </w:rPr>
              <w:t>李娅娌</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eastAsia" w:ascii="黑体" w:hAnsi="黑体" w:eastAsia="黑体" w:cs="宋体"/>
                <w:kern w:val="0"/>
                <w:sz w:val="22"/>
                <w:szCs w:val="22"/>
                <w:lang w:eastAsia="zh-CN"/>
              </w:rPr>
            </w:pPr>
            <w:r>
              <w:rPr>
                <w:rFonts w:hint="eastAsia" w:ascii="黑体" w:hAnsi="黑体" w:eastAsia="黑体" w:cs="宋体"/>
                <w:kern w:val="0"/>
                <w:sz w:val="22"/>
                <w:szCs w:val="22"/>
                <w:lang w:eastAsia="zh-CN"/>
              </w:rPr>
              <w:t>王艳杰</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平均</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项目决策</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15.00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14.00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14.00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14.00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14.00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项目立项</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5.00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绩效目标</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4.00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4.00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4.00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4.00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资金投入</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5.00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项目过程</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25.00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20.71</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21.21</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21.71</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21.21</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资金管理</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12.21</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12.21</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12.21</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12.21</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组织实施</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8.50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9.00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9.50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9.00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项目产出</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30.00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rPr>
              <w:t>30.00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rPr>
              <w:t>30.00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rPr>
              <w:t>30.00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rPr>
              <w:t>30.00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产出数量</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5.00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产出质量</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10.00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产出时效</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5.00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5.00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产出成本</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rPr>
              <w:t>10.00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rPr>
              <w:t>10.00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rPr>
              <w:t>10.00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项目效益</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30.00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27.75</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lang w:val="en-US" w:eastAsia="zh-CN"/>
              </w:rPr>
              <w:t>27.75</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lang w:val="en-US" w:eastAsia="zh-CN"/>
              </w:rPr>
              <w:t>27.75</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lang w:val="en-US" w:eastAsia="zh-CN"/>
              </w:rPr>
              <w:t>27.75</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 xml:space="preserve">  项目实施效益</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20.00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17.75</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17.75</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17.75</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17.75</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 xml:space="preserve"> 满意度</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rPr>
              <w:t>10.00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10.00</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kern w:val="0"/>
                <w:sz w:val="22"/>
                <w:szCs w:val="22"/>
              </w:rPr>
              <w:t>10.00</w:t>
            </w:r>
          </w:p>
        </w:tc>
      </w:tr>
      <w:tr>
        <w:tblPrEx>
          <w:tblCellMar>
            <w:top w:w="0" w:type="dxa"/>
            <w:left w:w="108" w:type="dxa"/>
            <w:bottom w:w="0" w:type="dxa"/>
            <w:right w:w="108" w:type="dxa"/>
          </w:tblCellMar>
        </w:tblPrEx>
        <w:trPr>
          <w:trHeight w:val="570" w:hRule="atLeast"/>
        </w:trPr>
        <w:tc>
          <w:tcPr>
            <w:tcW w:w="1629"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综　　合</w:t>
            </w:r>
          </w:p>
        </w:tc>
        <w:tc>
          <w:tcPr>
            <w:tcW w:w="722"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kern w:val="0"/>
                <w:sz w:val="22"/>
                <w:szCs w:val="22"/>
              </w:rPr>
            </w:pPr>
            <w:r>
              <w:rPr>
                <w:rFonts w:hint="eastAsia" w:ascii="宋体" w:hAnsi="宋体" w:eastAsia="宋体" w:cs="宋体"/>
                <w:b/>
                <w:bCs/>
                <w:kern w:val="0"/>
                <w:sz w:val="22"/>
                <w:szCs w:val="22"/>
              </w:rPr>
              <w:t>100.00</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92.46</w:t>
            </w:r>
          </w:p>
        </w:tc>
        <w:tc>
          <w:tcPr>
            <w:tcW w:w="71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92.96</w:t>
            </w:r>
          </w:p>
        </w:tc>
        <w:tc>
          <w:tcPr>
            <w:tcW w:w="575"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93.46</w:t>
            </w:r>
          </w:p>
        </w:tc>
        <w:tc>
          <w:tcPr>
            <w:tcW w:w="639" w:type="pct"/>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92.96</w:t>
            </w:r>
          </w:p>
        </w:tc>
      </w:tr>
    </w:tbl>
    <w:p>
      <w:pPr>
        <w:tabs>
          <w:tab w:val="left" w:pos="1925"/>
        </w:tabs>
        <w:ind w:firstLine="0" w:firstLineChars="0"/>
        <w:rPr>
          <w:rFonts w:ascii="黑体" w:hAnsi="黑体" w:eastAsia="黑体" w:cs="宋体"/>
          <w:color w:val="000000"/>
          <w:kern w:val="0"/>
          <w:sz w:val="24"/>
          <w:szCs w:val="24"/>
        </w:rPr>
      </w:pPr>
    </w:p>
    <w:p>
      <w:pPr>
        <w:tabs>
          <w:tab w:val="left" w:pos="1925"/>
        </w:tabs>
        <w:ind w:firstLine="0" w:firstLineChars="0"/>
        <w:rPr>
          <w:rFonts w:ascii="黑体" w:hAnsi="黑体" w:eastAsia="黑体" w:cs="宋体"/>
          <w:color w:val="000000"/>
          <w:kern w:val="0"/>
          <w:sz w:val="24"/>
          <w:szCs w:val="24"/>
        </w:rPr>
      </w:pPr>
    </w:p>
    <w:tbl>
      <w:tblPr>
        <w:tblStyle w:val="18"/>
        <w:tblW w:w="16467" w:type="dxa"/>
        <w:tblInd w:w="108" w:type="dxa"/>
        <w:tblLayout w:type="autofit"/>
        <w:tblCellMar>
          <w:top w:w="0" w:type="dxa"/>
          <w:left w:w="108" w:type="dxa"/>
          <w:bottom w:w="0" w:type="dxa"/>
          <w:right w:w="108" w:type="dxa"/>
        </w:tblCellMar>
      </w:tblPr>
      <w:tblGrid>
        <w:gridCol w:w="1885"/>
        <w:gridCol w:w="3061"/>
        <w:gridCol w:w="1798"/>
        <w:gridCol w:w="1993"/>
        <w:gridCol w:w="878"/>
        <w:gridCol w:w="3961"/>
        <w:gridCol w:w="1798"/>
        <w:gridCol w:w="1093"/>
      </w:tblGrid>
      <w:tr>
        <w:tblPrEx>
          <w:tblCellMar>
            <w:top w:w="0" w:type="dxa"/>
            <w:left w:w="108" w:type="dxa"/>
            <w:bottom w:w="0" w:type="dxa"/>
            <w:right w:w="108" w:type="dxa"/>
          </w:tblCellMar>
        </w:tblPrEx>
        <w:trPr>
          <w:trHeight w:val="470" w:hRule="atLeast"/>
        </w:trPr>
        <w:tc>
          <w:tcPr>
            <w:tcW w:w="9615" w:type="dxa"/>
            <w:gridSpan w:val="5"/>
            <w:tcBorders>
              <w:top w:val="nil"/>
              <w:left w:val="nil"/>
              <w:bottom w:val="nil"/>
              <w:right w:val="nil"/>
            </w:tcBorders>
            <w:shd w:val="clear" w:color="auto" w:fill="auto"/>
            <w:noWrap/>
            <w:vAlign w:val="center"/>
          </w:tcPr>
          <w:p>
            <w:pPr>
              <w:widowControl/>
              <w:spacing w:before="0" w:after="0" w:line="240" w:lineRule="auto"/>
              <w:ind w:firstLine="0" w:firstLineChars="0"/>
              <w:jc w:val="left"/>
              <w:rPr>
                <w:rFonts w:ascii="黑体" w:hAnsi="黑体" w:eastAsia="黑体" w:cs="宋体"/>
                <w:color w:val="000000"/>
                <w:kern w:val="0"/>
                <w:sz w:val="24"/>
                <w:szCs w:val="24"/>
              </w:rPr>
            </w:pPr>
            <w:r>
              <w:br w:type="page"/>
            </w:r>
            <w:r>
              <w:br w:type="page"/>
            </w:r>
            <w:r>
              <w:rPr>
                <w:rFonts w:ascii="黑体" w:hAnsi="黑体" w:eastAsia="黑体" w:cs="宋体"/>
                <w:sz w:val="24"/>
                <w:szCs w:val="24"/>
              </w:rPr>
              <w:tab/>
            </w:r>
          </w:p>
        </w:tc>
        <w:tc>
          <w:tcPr>
            <w:tcW w:w="3961" w:type="dxa"/>
            <w:tcBorders>
              <w:top w:val="nil"/>
              <w:left w:val="nil"/>
              <w:bottom w:val="nil"/>
              <w:right w:val="nil"/>
            </w:tcBorders>
            <w:shd w:val="clear" w:color="auto" w:fill="auto"/>
            <w:noWrap/>
            <w:vAlign w:val="center"/>
          </w:tcPr>
          <w:p>
            <w:pPr>
              <w:widowControl/>
              <w:spacing w:before="0" w:after="0" w:line="240" w:lineRule="auto"/>
              <w:ind w:firstLine="0" w:firstLineChars="0"/>
              <w:jc w:val="left"/>
              <w:rPr>
                <w:rFonts w:ascii="黑体" w:hAnsi="黑体" w:eastAsia="黑体" w:cs="宋体"/>
                <w:color w:val="000000"/>
                <w:kern w:val="0"/>
                <w:sz w:val="24"/>
                <w:szCs w:val="24"/>
              </w:rPr>
            </w:pPr>
          </w:p>
        </w:tc>
        <w:tc>
          <w:tcPr>
            <w:tcW w:w="1798" w:type="dxa"/>
            <w:tcBorders>
              <w:top w:val="nil"/>
              <w:left w:val="nil"/>
              <w:bottom w:val="nil"/>
              <w:right w:val="nil"/>
            </w:tcBorders>
            <w:shd w:val="clear" w:color="auto" w:fill="auto"/>
            <w:noWrap/>
            <w:vAlign w:val="center"/>
          </w:tcPr>
          <w:p>
            <w:pPr>
              <w:widowControl/>
              <w:spacing w:before="0" w:after="0" w:line="240" w:lineRule="auto"/>
              <w:ind w:firstLine="0" w:firstLineChars="0"/>
              <w:jc w:val="center"/>
              <w:rPr>
                <w:rFonts w:eastAsia="Times New Roman"/>
                <w:kern w:val="0"/>
                <w:sz w:val="20"/>
                <w:szCs w:val="20"/>
              </w:rPr>
            </w:pPr>
          </w:p>
        </w:tc>
        <w:tc>
          <w:tcPr>
            <w:tcW w:w="1093" w:type="dxa"/>
            <w:tcBorders>
              <w:top w:val="nil"/>
              <w:left w:val="nil"/>
              <w:bottom w:val="nil"/>
              <w:right w:val="nil"/>
            </w:tcBorders>
            <w:shd w:val="clear" w:color="auto" w:fill="auto"/>
            <w:noWrap/>
            <w:vAlign w:val="center"/>
          </w:tcPr>
          <w:p>
            <w:pPr>
              <w:widowControl/>
              <w:spacing w:before="0" w:after="0" w:line="240" w:lineRule="auto"/>
              <w:ind w:firstLine="0" w:firstLineChars="0"/>
              <w:jc w:val="center"/>
              <w:rPr>
                <w:rFonts w:eastAsia="Times New Roman"/>
                <w:kern w:val="0"/>
                <w:sz w:val="20"/>
                <w:szCs w:val="20"/>
              </w:rPr>
            </w:pPr>
          </w:p>
        </w:tc>
      </w:tr>
      <w:tr>
        <w:tblPrEx>
          <w:tblCellMar>
            <w:top w:w="0" w:type="dxa"/>
            <w:left w:w="108" w:type="dxa"/>
            <w:bottom w:w="0" w:type="dxa"/>
            <w:right w:w="108" w:type="dxa"/>
          </w:tblCellMar>
        </w:tblPrEx>
        <w:trPr>
          <w:trHeight w:val="470" w:hRule="atLeast"/>
        </w:trPr>
        <w:tc>
          <w:tcPr>
            <w:tcW w:w="9615" w:type="dxa"/>
            <w:gridSpan w:val="5"/>
            <w:tcBorders>
              <w:top w:val="nil"/>
              <w:left w:val="nil"/>
              <w:bottom w:val="nil"/>
              <w:right w:val="nil"/>
            </w:tcBorders>
            <w:shd w:val="clear" w:color="auto" w:fill="auto"/>
            <w:noWrap/>
            <w:vAlign w:val="center"/>
          </w:tcPr>
          <w:p>
            <w:pPr>
              <w:pStyle w:val="4"/>
              <w:ind w:firstLine="0" w:firstLineChars="0"/>
              <w:rPr>
                <w:rFonts w:ascii="黑体" w:hAnsi="黑体" w:eastAsia="黑体" w:cs="宋体"/>
                <w:color w:val="000000"/>
                <w:kern w:val="0"/>
                <w:sz w:val="24"/>
                <w:szCs w:val="24"/>
              </w:rPr>
            </w:pPr>
            <w:r>
              <w:rPr>
                <w:rFonts w:hint="eastAsia" w:ascii="黑体" w:hAnsi="黑体" w:eastAsia="黑体" w:cs="宋体"/>
                <w:color w:val="000000"/>
                <w:kern w:val="0"/>
                <w:sz w:val="24"/>
                <w:szCs w:val="24"/>
              </w:rPr>
              <w:t>附件2</w:t>
            </w:r>
          </w:p>
          <w:p>
            <w:pPr>
              <w:widowControl/>
              <w:spacing w:before="0" w:after="0" w:line="240" w:lineRule="auto"/>
              <w:ind w:firstLine="0" w:firstLineChars="0"/>
              <w:jc w:val="left"/>
            </w:pPr>
          </w:p>
        </w:tc>
        <w:tc>
          <w:tcPr>
            <w:tcW w:w="3961" w:type="dxa"/>
            <w:tcBorders>
              <w:top w:val="nil"/>
              <w:left w:val="nil"/>
              <w:bottom w:val="nil"/>
              <w:right w:val="nil"/>
            </w:tcBorders>
            <w:shd w:val="clear" w:color="auto" w:fill="auto"/>
            <w:noWrap/>
            <w:vAlign w:val="center"/>
          </w:tcPr>
          <w:p>
            <w:pPr>
              <w:widowControl/>
              <w:spacing w:before="0" w:after="0" w:line="240" w:lineRule="auto"/>
              <w:ind w:firstLine="0" w:firstLineChars="0"/>
              <w:jc w:val="left"/>
              <w:rPr>
                <w:rFonts w:ascii="黑体" w:hAnsi="黑体" w:eastAsia="黑体" w:cs="宋体"/>
                <w:color w:val="000000"/>
                <w:kern w:val="0"/>
                <w:sz w:val="24"/>
                <w:szCs w:val="24"/>
              </w:rPr>
            </w:pPr>
          </w:p>
        </w:tc>
        <w:tc>
          <w:tcPr>
            <w:tcW w:w="1798" w:type="dxa"/>
            <w:tcBorders>
              <w:top w:val="nil"/>
              <w:left w:val="nil"/>
              <w:bottom w:val="nil"/>
              <w:right w:val="nil"/>
            </w:tcBorders>
            <w:shd w:val="clear" w:color="auto" w:fill="auto"/>
            <w:noWrap/>
            <w:vAlign w:val="center"/>
          </w:tcPr>
          <w:p>
            <w:pPr>
              <w:widowControl/>
              <w:spacing w:before="0" w:after="0" w:line="240" w:lineRule="auto"/>
              <w:ind w:firstLine="0" w:firstLineChars="0"/>
              <w:jc w:val="center"/>
              <w:rPr>
                <w:rFonts w:eastAsia="Times New Roman"/>
                <w:kern w:val="0"/>
                <w:sz w:val="20"/>
                <w:szCs w:val="20"/>
              </w:rPr>
            </w:pPr>
          </w:p>
        </w:tc>
        <w:tc>
          <w:tcPr>
            <w:tcW w:w="1093" w:type="dxa"/>
            <w:tcBorders>
              <w:top w:val="nil"/>
              <w:left w:val="nil"/>
              <w:bottom w:val="nil"/>
              <w:right w:val="nil"/>
            </w:tcBorders>
            <w:shd w:val="clear" w:color="auto" w:fill="auto"/>
            <w:noWrap/>
            <w:vAlign w:val="center"/>
          </w:tcPr>
          <w:p>
            <w:pPr>
              <w:widowControl/>
              <w:spacing w:before="0" w:after="0" w:line="240" w:lineRule="auto"/>
              <w:ind w:firstLine="0" w:firstLineChars="0"/>
              <w:jc w:val="center"/>
              <w:rPr>
                <w:rFonts w:eastAsia="Times New Roman"/>
                <w:kern w:val="0"/>
                <w:sz w:val="20"/>
                <w:szCs w:val="20"/>
              </w:rPr>
            </w:pPr>
          </w:p>
        </w:tc>
      </w:tr>
      <w:tr>
        <w:tblPrEx>
          <w:tblCellMar>
            <w:top w:w="0" w:type="dxa"/>
            <w:left w:w="108" w:type="dxa"/>
            <w:bottom w:w="0" w:type="dxa"/>
            <w:right w:w="108" w:type="dxa"/>
          </w:tblCellMar>
        </w:tblPrEx>
        <w:trPr>
          <w:gridAfter w:val="4"/>
          <w:wAfter w:w="7730" w:type="dxa"/>
          <w:trHeight w:val="840" w:hRule="atLeast"/>
        </w:trPr>
        <w:tc>
          <w:tcPr>
            <w:tcW w:w="8737" w:type="dxa"/>
            <w:gridSpan w:val="4"/>
            <w:tcBorders>
              <w:top w:val="nil"/>
              <w:left w:val="nil"/>
              <w:bottom w:val="nil"/>
              <w:right w:val="nil"/>
            </w:tcBorders>
            <w:shd w:val="clear" w:color="auto" w:fill="auto"/>
            <w:vAlign w:val="center"/>
          </w:tcPr>
          <w:p>
            <w:pPr>
              <w:widowControl/>
              <w:spacing w:before="0" w:after="0" w:line="240" w:lineRule="auto"/>
              <w:ind w:firstLine="0" w:firstLineChars="0"/>
              <w:jc w:val="center"/>
              <w:rPr>
                <w:rFonts w:hint="eastAsia" w:ascii="黑体" w:hAnsi="黑体" w:eastAsia="黑体" w:cs="宋体"/>
                <w:b/>
                <w:bCs/>
                <w:color w:val="000000"/>
                <w:kern w:val="0"/>
                <w:sz w:val="24"/>
                <w:szCs w:val="24"/>
                <w:lang w:eastAsia="zh-CN"/>
              </w:rPr>
            </w:pPr>
            <w:r>
              <w:rPr>
                <w:rFonts w:hint="eastAsia" w:ascii="黑体" w:hAnsi="黑体" w:eastAsia="黑体" w:cs="宋体"/>
                <w:b/>
                <w:bCs/>
                <w:color w:val="000000"/>
                <w:kern w:val="0"/>
                <w:sz w:val="24"/>
                <w:szCs w:val="24"/>
              </w:rPr>
              <w:t>“</w:t>
            </w:r>
            <w:r>
              <w:rPr>
                <w:rFonts w:hint="eastAsia" w:ascii="黑体" w:hAnsi="黑体" w:eastAsia="黑体" w:cs="宋体"/>
                <w:b/>
                <w:bCs/>
                <w:color w:val="000000"/>
                <w:kern w:val="0"/>
                <w:sz w:val="24"/>
                <w:szCs w:val="24"/>
                <w:lang w:val="en-US" w:eastAsia="zh-CN"/>
              </w:rPr>
              <w:t>举办全市思想政治工作示范培训</w:t>
            </w:r>
            <w:r>
              <w:rPr>
                <w:rFonts w:hint="eastAsia" w:ascii="黑体" w:hAnsi="黑体" w:eastAsia="黑体" w:cs="宋体"/>
                <w:b/>
                <w:bCs/>
                <w:color w:val="000000"/>
                <w:kern w:val="0"/>
                <w:sz w:val="24"/>
                <w:szCs w:val="24"/>
              </w:rPr>
              <w:t>”项目绩效目标</w:t>
            </w:r>
          </w:p>
          <w:p>
            <w:pPr>
              <w:widowControl/>
              <w:spacing w:before="0" w:after="0" w:line="240" w:lineRule="auto"/>
              <w:ind w:firstLine="0" w:firstLineChars="0"/>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完成情况及收支明细表</w:t>
            </w:r>
          </w:p>
        </w:tc>
      </w:tr>
      <w:tr>
        <w:tblPrEx>
          <w:tblCellMar>
            <w:top w:w="0" w:type="dxa"/>
            <w:left w:w="108" w:type="dxa"/>
            <w:bottom w:w="0" w:type="dxa"/>
            <w:right w:w="108" w:type="dxa"/>
          </w:tblCellMar>
        </w:tblPrEx>
        <w:trPr>
          <w:gridAfter w:val="4"/>
          <w:wAfter w:w="7730" w:type="dxa"/>
          <w:trHeight w:val="508" w:hRule="atLeast"/>
        </w:trPr>
        <w:tc>
          <w:tcPr>
            <w:tcW w:w="1885" w:type="dxa"/>
            <w:tcBorders>
              <w:top w:val="nil"/>
              <w:left w:val="nil"/>
              <w:bottom w:val="nil"/>
              <w:right w:val="nil"/>
            </w:tcBorders>
            <w:shd w:val="clear" w:color="auto" w:fill="auto"/>
            <w:noWrap/>
            <w:vAlign w:val="center"/>
          </w:tcPr>
          <w:p>
            <w:pPr>
              <w:widowControl/>
              <w:spacing w:before="0" w:after="0" w:line="240" w:lineRule="auto"/>
              <w:ind w:firstLine="0" w:firstLineChars="0"/>
              <w:jc w:val="center"/>
              <w:rPr>
                <w:rFonts w:ascii="黑体" w:hAnsi="黑体" w:eastAsia="黑体" w:cs="宋体"/>
                <w:b/>
                <w:bCs/>
                <w:color w:val="000000"/>
                <w:kern w:val="0"/>
                <w:sz w:val="24"/>
                <w:szCs w:val="24"/>
              </w:rPr>
            </w:pPr>
          </w:p>
        </w:tc>
        <w:tc>
          <w:tcPr>
            <w:tcW w:w="3061" w:type="dxa"/>
            <w:tcBorders>
              <w:top w:val="nil"/>
              <w:left w:val="nil"/>
              <w:bottom w:val="nil"/>
              <w:right w:val="nil"/>
            </w:tcBorders>
            <w:shd w:val="clear" w:color="auto" w:fill="auto"/>
            <w:noWrap/>
            <w:vAlign w:val="center"/>
          </w:tcPr>
          <w:p>
            <w:pPr>
              <w:widowControl/>
              <w:spacing w:before="0" w:after="0" w:line="240" w:lineRule="auto"/>
              <w:ind w:firstLine="0" w:firstLineChars="0"/>
              <w:jc w:val="left"/>
              <w:rPr>
                <w:rFonts w:eastAsia="Times New Roman"/>
                <w:kern w:val="0"/>
                <w:sz w:val="20"/>
                <w:szCs w:val="20"/>
              </w:rPr>
            </w:pPr>
          </w:p>
        </w:tc>
        <w:tc>
          <w:tcPr>
            <w:tcW w:w="1798" w:type="dxa"/>
            <w:tcBorders>
              <w:top w:val="nil"/>
              <w:left w:val="nil"/>
              <w:bottom w:val="nil"/>
              <w:right w:val="nil"/>
            </w:tcBorders>
            <w:shd w:val="clear" w:color="auto" w:fill="auto"/>
            <w:noWrap/>
            <w:vAlign w:val="center"/>
          </w:tcPr>
          <w:p>
            <w:pPr>
              <w:widowControl/>
              <w:spacing w:before="0" w:after="0" w:line="240" w:lineRule="auto"/>
              <w:ind w:firstLine="0" w:firstLineChars="0"/>
              <w:jc w:val="left"/>
              <w:rPr>
                <w:rFonts w:eastAsia="Times New Roman"/>
                <w:kern w:val="0"/>
                <w:sz w:val="20"/>
                <w:szCs w:val="20"/>
              </w:rPr>
            </w:pPr>
          </w:p>
        </w:tc>
        <w:tc>
          <w:tcPr>
            <w:tcW w:w="1993" w:type="dxa"/>
            <w:tcBorders>
              <w:top w:val="nil"/>
              <w:left w:val="nil"/>
              <w:bottom w:val="nil"/>
              <w:right w:val="nil"/>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单位：万元</w:t>
            </w:r>
          </w:p>
        </w:tc>
      </w:tr>
      <w:tr>
        <w:tblPrEx>
          <w:tblCellMar>
            <w:top w:w="0" w:type="dxa"/>
            <w:left w:w="108" w:type="dxa"/>
            <w:bottom w:w="0" w:type="dxa"/>
            <w:right w:w="108" w:type="dxa"/>
          </w:tblCellMar>
        </w:tblPrEx>
        <w:trPr>
          <w:gridAfter w:val="4"/>
          <w:wAfter w:w="7730" w:type="dxa"/>
          <w:trHeight w:val="496" w:hRule="atLeast"/>
        </w:trPr>
        <w:tc>
          <w:tcPr>
            <w:tcW w:w="1885" w:type="dxa"/>
            <w:vMerge w:val="restart"/>
            <w:tcBorders>
              <w:top w:val="single" w:color="auto" w:sz="4" w:space="0"/>
              <w:left w:val="single" w:color="auto" w:sz="4" w:space="0"/>
              <w:bottom w:val="single" w:color="auto" w:sz="4" w:space="0"/>
              <w:right w:val="single" w:color="auto" w:sz="4" w:space="0"/>
            </w:tcBorders>
            <w:shd w:val="clear" w:color="000000" w:fill="FFFFFF"/>
            <w:noWrap/>
            <w:textDirection w:val="tbRlV"/>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绩效目标完成情况</w:t>
            </w:r>
          </w:p>
        </w:tc>
        <w:tc>
          <w:tcPr>
            <w:tcW w:w="3061"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计划内容</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目标调整情况</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实际完成情况</w:t>
            </w:r>
          </w:p>
        </w:tc>
      </w:tr>
      <w:tr>
        <w:tblPrEx>
          <w:tblCellMar>
            <w:top w:w="0" w:type="dxa"/>
            <w:left w:w="108" w:type="dxa"/>
            <w:bottom w:w="0" w:type="dxa"/>
            <w:right w:w="108" w:type="dxa"/>
          </w:tblCellMar>
        </w:tblPrEx>
        <w:trPr>
          <w:gridAfter w:val="4"/>
          <w:wAfter w:w="7730" w:type="dxa"/>
          <w:trHeight w:val="496" w:hRule="atLeast"/>
        </w:trPr>
        <w:tc>
          <w:tcPr>
            <w:tcW w:w="188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举办培训班</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3期</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3期</w:t>
            </w:r>
          </w:p>
        </w:tc>
      </w:tr>
      <w:tr>
        <w:tblPrEx>
          <w:tblCellMar>
            <w:top w:w="0" w:type="dxa"/>
            <w:left w:w="108" w:type="dxa"/>
            <w:bottom w:w="0" w:type="dxa"/>
            <w:right w:w="108" w:type="dxa"/>
          </w:tblCellMar>
        </w:tblPrEx>
        <w:trPr>
          <w:gridAfter w:val="4"/>
          <w:wAfter w:w="7730" w:type="dxa"/>
          <w:trHeight w:val="496" w:hRule="atLeast"/>
        </w:trPr>
        <w:tc>
          <w:tcPr>
            <w:tcW w:w="188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tabs>
                <w:tab w:val="center" w:pos="1422"/>
              </w:tabs>
              <w:spacing w:before="0" w:after="0" w:line="240" w:lineRule="auto"/>
              <w:ind w:firstLine="0" w:firstLineChars="0"/>
              <w:jc w:val="both"/>
              <w:rPr>
                <w:rFonts w:hint="eastAsia" w:ascii="宋体" w:hAnsi="宋体" w:eastAsia="宋体" w:cs="宋体"/>
                <w:color w:val="000000"/>
                <w:kern w:val="0"/>
                <w:sz w:val="18"/>
                <w:szCs w:val="18"/>
                <w:lang w:eastAsia="zh-CN"/>
              </w:rPr>
            </w:pP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gridAfter w:val="4"/>
          <w:wAfter w:w="7730" w:type="dxa"/>
          <w:trHeight w:val="496" w:hRule="atLeast"/>
        </w:trPr>
        <w:tc>
          <w:tcPr>
            <w:tcW w:w="188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gridAfter w:val="4"/>
          <w:wAfter w:w="7730" w:type="dxa"/>
          <w:trHeight w:val="496" w:hRule="atLeast"/>
        </w:trPr>
        <w:tc>
          <w:tcPr>
            <w:tcW w:w="1885"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gridAfter w:val="4"/>
          <w:wAfter w:w="7730" w:type="dxa"/>
          <w:trHeight w:val="482" w:hRule="atLeast"/>
        </w:trPr>
        <w:tc>
          <w:tcPr>
            <w:tcW w:w="1885" w:type="dxa"/>
            <w:vMerge w:val="restart"/>
            <w:tcBorders>
              <w:top w:val="nil"/>
              <w:left w:val="single" w:color="auto" w:sz="4" w:space="0"/>
              <w:bottom w:val="single" w:color="auto" w:sz="4" w:space="0"/>
              <w:right w:val="single" w:color="auto" w:sz="4" w:space="0"/>
            </w:tcBorders>
            <w:shd w:val="clear" w:color="000000" w:fill="FFFFFF"/>
            <w:noWrap/>
            <w:textDirection w:val="tbRlV"/>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资金到位情况</w:t>
            </w: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预算批复数</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资金到位数</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财政拨款</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90.89</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90.89</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自筹资金</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gridAfter w:val="4"/>
          <w:wAfter w:w="7730" w:type="dxa"/>
          <w:trHeight w:val="482" w:hRule="atLeast"/>
        </w:trPr>
        <w:tc>
          <w:tcPr>
            <w:tcW w:w="1885" w:type="dxa"/>
            <w:vMerge w:val="restart"/>
            <w:tcBorders>
              <w:top w:val="nil"/>
              <w:left w:val="single" w:color="auto" w:sz="4" w:space="0"/>
              <w:bottom w:val="single" w:color="auto" w:sz="4" w:space="0"/>
              <w:right w:val="single" w:color="auto" w:sz="4" w:space="0"/>
            </w:tcBorders>
            <w:shd w:val="clear" w:color="000000" w:fill="FFFFFF"/>
            <w:noWrap/>
            <w:textDirection w:val="tbRlV"/>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资金支出情况</w:t>
            </w: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项目预算支出明细</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预算批复数</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实际支出数</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培训费</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38.8</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37.15</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劳务费</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52.08</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3.06</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gridAfter w:val="4"/>
          <w:wAfter w:w="7730" w:type="dxa"/>
          <w:trHeight w:val="482" w:hRule="atLeast"/>
        </w:trPr>
        <w:tc>
          <w:tcPr>
            <w:tcW w:w="1885"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30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79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c>
          <w:tcPr>
            <w:tcW w:w="1993"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p>
        </w:tc>
      </w:tr>
    </w:tbl>
    <w:p>
      <w:pPr>
        <w:widowControl/>
        <w:spacing w:before="0" w:after="0" w:line="240" w:lineRule="auto"/>
        <w:ind w:firstLine="0" w:firstLineChars="0"/>
        <w:jc w:val="left"/>
        <w:rPr>
          <w:rFonts w:ascii="仿宋" w:hAnsi="仿宋" w:eastAsia="仿宋"/>
        </w:rPr>
      </w:pPr>
      <w:r>
        <w:rPr>
          <w:rFonts w:ascii="仿宋" w:hAnsi="仿宋" w:eastAsia="仿宋"/>
        </w:rPr>
        <w:br w:type="page"/>
      </w:r>
    </w:p>
    <w:p>
      <w:pPr>
        <w:widowControl/>
        <w:spacing w:before="0" w:after="0" w:line="240" w:lineRule="auto"/>
        <w:ind w:firstLine="0" w:firstLineChars="0"/>
        <w:jc w:val="left"/>
        <w:rPr>
          <w:rFonts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3</w:t>
      </w:r>
    </w:p>
    <w:tbl>
      <w:tblPr>
        <w:tblStyle w:val="18"/>
        <w:tblW w:w="9356" w:type="dxa"/>
        <w:tblInd w:w="-176" w:type="dxa"/>
        <w:tblLayout w:type="autofit"/>
        <w:tblCellMar>
          <w:top w:w="0" w:type="dxa"/>
          <w:left w:w="108" w:type="dxa"/>
          <w:bottom w:w="0" w:type="dxa"/>
          <w:right w:w="108" w:type="dxa"/>
        </w:tblCellMar>
      </w:tblPr>
      <w:tblGrid>
        <w:gridCol w:w="710"/>
        <w:gridCol w:w="657"/>
        <w:gridCol w:w="708"/>
        <w:gridCol w:w="716"/>
        <w:gridCol w:w="761"/>
        <w:gridCol w:w="567"/>
        <w:gridCol w:w="850"/>
        <w:gridCol w:w="1701"/>
        <w:gridCol w:w="2686"/>
      </w:tblGrid>
      <w:tr>
        <w:tblPrEx>
          <w:tblCellMar>
            <w:top w:w="0" w:type="dxa"/>
            <w:left w:w="108" w:type="dxa"/>
            <w:bottom w:w="0" w:type="dxa"/>
            <w:right w:w="108" w:type="dxa"/>
          </w:tblCellMar>
        </w:tblPrEx>
        <w:trPr>
          <w:trHeight w:val="388" w:hRule="atLeast"/>
          <w:tblHeader/>
        </w:trPr>
        <w:tc>
          <w:tcPr>
            <w:tcW w:w="710" w:type="dxa"/>
            <w:tcBorders>
              <w:top w:val="nil"/>
              <w:left w:val="nil"/>
              <w:bottom w:val="nil"/>
              <w:right w:val="nil"/>
            </w:tcBorders>
            <w:shd w:val="clear" w:color="auto" w:fill="auto"/>
            <w:noWrap/>
            <w:vAlign w:val="center"/>
          </w:tcPr>
          <w:p>
            <w:pPr>
              <w:widowControl/>
              <w:spacing w:before="0" w:after="0" w:line="240" w:lineRule="auto"/>
              <w:ind w:firstLine="0" w:firstLineChars="0"/>
              <w:jc w:val="left"/>
              <w:rPr>
                <w:rFonts w:ascii="黑体" w:hAnsi="黑体" w:eastAsia="黑体" w:cs="宋体"/>
                <w:color w:val="000000"/>
                <w:kern w:val="0"/>
                <w:sz w:val="24"/>
                <w:szCs w:val="24"/>
              </w:rPr>
            </w:pPr>
          </w:p>
        </w:tc>
        <w:tc>
          <w:tcPr>
            <w:tcW w:w="657" w:type="dxa"/>
            <w:tcBorders>
              <w:top w:val="nil"/>
              <w:left w:val="nil"/>
              <w:bottom w:val="nil"/>
              <w:right w:val="nil"/>
            </w:tcBorders>
            <w:shd w:val="clear" w:color="auto" w:fill="auto"/>
            <w:noWrap/>
            <w:vAlign w:val="bottom"/>
          </w:tcPr>
          <w:p>
            <w:pPr>
              <w:widowControl/>
              <w:spacing w:before="0" w:after="0" w:line="240" w:lineRule="auto"/>
              <w:ind w:firstLine="0" w:firstLineChars="0"/>
              <w:jc w:val="left"/>
              <w:rPr>
                <w:rFonts w:ascii="黑体" w:hAnsi="黑体" w:eastAsia="黑体" w:cs="宋体"/>
                <w:color w:val="000000"/>
                <w:kern w:val="0"/>
                <w:sz w:val="24"/>
                <w:szCs w:val="24"/>
              </w:rPr>
            </w:pPr>
          </w:p>
        </w:tc>
        <w:tc>
          <w:tcPr>
            <w:tcW w:w="708" w:type="dxa"/>
            <w:tcBorders>
              <w:top w:val="nil"/>
              <w:left w:val="nil"/>
              <w:bottom w:val="nil"/>
              <w:right w:val="nil"/>
            </w:tcBorders>
            <w:shd w:val="clear" w:color="auto" w:fill="auto"/>
            <w:noWrap/>
            <w:vAlign w:val="bottom"/>
          </w:tcPr>
          <w:p>
            <w:pPr>
              <w:widowControl/>
              <w:spacing w:before="0" w:after="0" w:line="240" w:lineRule="auto"/>
              <w:ind w:firstLine="0" w:firstLineChars="0"/>
              <w:jc w:val="left"/>
              <w:rPr>
                <w:rFonts w:eastAsia="Times New Roman"/>
                <w:kern w:val="0"/>
                <w:sz w:val="20"/>
                <w:szCs w:val="20"/>
              </w:rPr>
            </w:pPr>
          </w:p>
        </w:tc>
        <w:tc>
          <w:tcPr>
            <w:tcW w:w="567" w:type="dxa"/>
            <w:tcBorders>
              <w:top w:val="nil"/>
              <w:left w:val="nil"/>
              <w:bottom w:val="nil"/>
              <w:right w:val="nil"/>
            </w:tcBorders>
            <w:shd w:val="clear" w:color="auto" w:fill="auto"/>
            <w:noWrap/>
            <w:vAlign w:val="bottom"/>
          </w:tcPr>
          <w:p>
            <w:pPr>
              <w:widowControl/>
              <w:spacing w:before="0" w:after="0" w:line="240" w:lineRule="auto"/>
              <w:ind w:firstLine="0" w:firstLineChars="0"/>
              <w:jc w:val="left"/>
              <w:rPr>
                <w:rFonts w:eastAsia="Times New Roman"/>
                <w:kern w:val="0"/>
                <w:sz w:val="20"/>
                <w:szCs w:val="20"/>
              </w:rPr>
            </w:pPr>
          </w:p>
        </w:tc>
        <w:tc>
          <w:tcPr>
            <w:tcW w:w="761" w:type="dxa"/>
            <w:tcBorders>
              <w:top w:val="nil"/>
              <w:left w:val="nil"/>
              <w:bottom w:val="nil"/>
              <w:right w:val="nil"/>
            </w:tcBorders>
            <w:shd w:val="clear" w:color="auto" w:fill="auto"/>
            <w:noWrap/>
            <w:vAlign w:val="bottom"/>
          </w:tcPr>
          <w:p>
            <w:pPr>
              <w:widowControl/>
              <w:spacing w:before="0" w:after="0" w:line="240" w:lineRule="auto"/>
              <w:ind w:firstLine="0" w:firstLineChars="0"/>
              <w:jc w:val="left"/>
              <w:rPr>
                <w:rFonts w:eastAsia="Times New Roman"/>
                <w:kern w:val="0"/>
                <w:sz w:val="20"/>
                <w:szCs w:val="20"/>
              </w:rPr>
            </w:pPr>
          </w:p>
        </w:tc>
        <w:tc>
          <w:tcPr>
            <w:tcW w:w="567" w:type="dxa"/>
            <w:tcBorders>
              <w:top w:val="nil"/>
              <w:left w:val="nil"/>
              <w:bottom w:val="nil"/>
              <w:right w:val="nil"/>
            </w:tcBorders>
            <w:shd w:val="clear" w:color="auto" w:fill="auto"/>
            <w:noWrap/>
            <w:vAlign w:val="bottom"/>
          </w:tcPr>
          <w:p>
            <w:pPr>
              <w:widowControl/>
              <w:spacing w:before="0" w:after="0" w:line="240" w:lineRule="auto"/>
              <w:ind w:firstLine="0" w:firstLineChars="0"/>
              <w:jc w:val="left"/>
              <w:rPr>
                <w:rFonts w:eastAsia="Times New Roman"/>
                <w:kern w:val="0"/>
                <w:sz w:val="20"/>
                <w:szCs w:val="20"/>
              </w:rPr>
            </w:pPr>
          </w:p>
        </w:tc>
        <w:tc>
          <w:tcPr>
            <w:tcW w:w="850" w:type="dxa"/>
            <w:tcBorders>
              <w:top w:val="nil"/>
              <w:left w:val="nil"/>
              <w:bottom w:val="nil"/>
              <w:right w:val="nil"/>
            </w:tcBorders>
            <w:shd w:val="clear" w:color="auto" w:fill="auto"/>
            <w:vAlign w:val="bottom"/>
          </w:tcPr>
          <w:p>
            <w:pPr>
              <w:widowControl/>
              <w:spacing w:before="0" w:after="0" w:line="240" w:lineRule="auto"/>
              <w:ind w:firstLine="0" w:firstLineChars="0"/>
              <w:jc w:val="left"/>
              <w:rPr>
                <w:rFonts w:eastAsia="Times New Roman"/>
                <w:kern w:val="0"/>
                <w:sz w:val="20"/>
                <w:szCs w:val="20"/>
              </w:rPr>
            </w:pPr>
          </w:p>
        </w:tc>
        <w:tc>
          <w:tcPr>
            <w:tcW w:w="1701" w:type="dxa"/>
            <w:tcBorders>
              <w:top w:val="nil"/>
              <w:left w:val="nil"/>
              <w:bottom w:val="nil"/>
              <w:right w:val="nil"/>
            </w:tcBorders>
            <w:shd w:val="clear" w:color="auto" w:fill="auto"/>
            <w:vAlign w:val="bottom"/>
          </w:tcPr>
          <w:p>
            <w:pPr>
              <w:widowControl/>
              <w:spacing w:before="0" w:after="0" w:line="240" w:lineRule="auto"/>
              <w:ind w:firstLine="0" w:firstLineChars="0"/>
              <w:jc w:val="left"/>
              <w:rPr>
                <w:rFonts w:eastAsia="Times New Roman"/>
                <w:kern w:val="0"/>
                <w:sz w:val="20"/>
                <w:szCs w:val="20"/>
              </w:rPr>
            </w:pPr>
          </w:p>
        </w:tc>
        <w:tc>
          <w:tcPr>
            <w:tcW w:w="2835" w:type="dxa"/>
            <w:tcBorders>
              <w:top w:val="nil"/>
              <w:left w:val="nil"/>
              <w:bottom w:val="nil"/>
              <w:right w:val="nil"/>
            </w:tcBorders>
            <w:shd w:val="clear" w:color="auto" w:fill="auto"/>
            <w:vAlign w:val="bottom"/>
          </w:tcPr>
          <w:p>
            <w:pPr>
              <w:widowControl/>
              <w:spacing w:before="0" w:after="0" w:line="240" w:lineRule="auto"/>
              <w:ind w:firstLine="0" w:firstLineChars="0"/>
              <w:jc w:val="left"/>
              <w:rPr>
                <w:rFonts w:eastAsia="Times New Roman"/>
                <w:kern w:val="0"/>
                <w:sz w:val="20"/>
                <w:szCs w:val="20"/>
              </w:rPr>
            </w:pPr>
          </w:p>
        </w:tc>
      </w:tr>
      <w:tr>
        <w:tblPrEx>
          <w:tblCellMar>
            <w:top w:w="0" w:type="dxa"/>
            <w:left w:w="108" w:type="dxa"/>
            <w:bottom w:w="0" w:type="dxa"/>
            <w:right w:w="108" w:type="dxa"/>
          </w:tblCellMar>
        </w:tblPrEx>
        <w:trPr>
          <w:trHeight w:val="583" w:hRule="atLeast"/>
          <w:tblHeader/>
        </w:trPr>
        <w:tc>
          <w:tcPr>
            <w:tcW w:w="9356" w:type="dxa"/>
            <w:gridSpan w:val="9"/>
            <w:tcBorders>
              <w:top w:val="nil"/>
              <w:left w:val="nil"/>
              <w:bottom w:val="nil"/>
              <w:right w:val="nil"/>
            </w:tcBorders>
            <w:shd w:val="clear" w:color="auto" w:fill="auto"/>
            <w:noWrap/>
            <w:vAlign w:val="center"/>
          </w:tcPr>
          <w:p>
            <w:pPr>
              <w:widowControl/>
              <w:spacing w:before="0" w:after="0" w:line="240" w:lineRule="auto"/>
              <w:ind w:firstLine="0" w:firstLineChars="0"/>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项目支出绩效评价指标体系</w:t>
            </w:r>
          </w:p>
        </w:tc>
      </w:tr>
      <w:tr>
        <w:tblPrEx>
          <w:tblCellMar>
            <w:top w:w="0" w:type="dxa"/>
            <w:left w:w="108" w:type="dxa"/>
            <w:bottom w:w="0" w:type="dxa"/>
            <w:right w:w="108" w:type="dxa"/>
          </w:tblCellMar>
        </w:tblPrEx>
        <w:trPr>
          <w:trHeight w:val="457" w:hRule="atLeast"/>
          <w:tblHead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w:t>
            </w:r>
          </w:p>
        </w:tc>
        <w:tc>
          <w:tcPr>
            <w:tcW w:w="657"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分值</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分值</w:t>
            </w:r>
          </w:p>
        </w:tc>
        <w:tc>
          <w:tcPr>
            <w:tcW w:w="761"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三级</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分值</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评价组打分</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扣分原因</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指标解释</w:t>
            </w:r>
          </w:p>
        </w:tc>
      </w:tr>
      <w:tr>
        <w:tblPrEx>
          <w:tblCellMar>
            <w:top w:w="0" w:type="dxa"/>
            <w:left w:w="108" w:type="dxa"/>
            <w:bottom w:w="0" w:type="dxa"/>
            <w:right w:w="108" w:type="dxa"/>
          </w:tblCellMar>
        </w:tblPrEx>
        <w:trPr>
          <w:trHeight w:val="739" w:hRule="atLeast"/>
        </w:trPr>
        <w:tc>
          <w:tcPr>
            <w:tcW w:w="71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决策</w:t>
            </w:r>
          </w:p>
        </w:tc>
        <w:tc>
          <w:tcPr>
            <w:tcW w:w="65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708" w:type="dxa"/>
            <w:vMerge w:val="restart"/>
            <w:tcBorders>
              <w:top w:val="nil"/>
              <w:left w:val="single" w:color="auto" w:sz="4" w:space="0"/>
              <w:bottom w:val="nil"/>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项目立项</w:t>
            </w:r>
          </w:p>
        </w:tc>
        <w:tc>
          <w:tcPr>
            <w:tcW w:w="567" w:type="dxa"/>
            <w:vMerge w:val="restart"/>
            <w:tcBorders>
              <w:top w:val="nil"/>
              <w:left w:val="single" w:color="auto" w:sz="4" w:space="0"/>
              <w:bottom w:val="nil"/>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6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立项依据充分性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项目立项是否符合法律法规、相关政策、发展规划以及部门职责，用以反映和考核项目立项依据情况。</w:t>
            </w:r>
          </w:p>
        </w:tc>
      </w:tr>
      <w:tr>
        <w:tblPrEx>
          <w:tblCellMar>
            <w:top w:w="0" w:type="dxa"/>
            <w:left w:w="108" w:type="dxa"/>
            <w:bottom w:w="0" w:type="dxa"/>
            <w:right w:w="108" w:type="dxa"/>
          </w:tblCellMar>
        </w:tblPrEx>
        <w:trPr>
          <w:trHeight w:val="544"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continue"/>
            <w:tcBorders>
              <w:top w:val="nil"/>
              <w:left w:val="single" w:color="auto" w:sz="4" w:space="0"/>
              <w:bottom w:val="nil"/>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567" w:type="dxa"/>
            <w:vMerge w:val="continue"/>
            <w:tcBorders>
              <w:top w:val="nil"/>
              <w:left w:val="single" w:color="auto" w:sz="4" w:space="0"/>
              <w:bottom w:val="nil"/>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6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立项程序规范性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项目申请、设立过程是否符合相关要求，用以反映和考核项目立项的规范情况。</w:t>
            </w:r>
          </w:p>
        </w:tc>
      </w:tr>
      <w:tr>
        <w:tblPrEx>
          <w:tblCellMar>
            <w:top w:w="0" w:type="dxa"/>
            <w:left w:w="108" w:type="dxa"/>
            <w:bottom w:w="0" w:type="dxa"/>
            <w:right w:w="108" w:type="dxa"/>
          </w:tblCellMar>
        </w:tblPrEx>
        <w:trPr>
          <w:trHeight w:val="701"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绩效目标</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6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绩效目标合理性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项目所设定的绩效目标是否依据充分，是否符合客观实际，用以反映和考核项目绩效目标与项目实施的相符情况。</w:t>
            </w:r>
          </w:p>
        </w:tc>
      </w:tr>
      <w:tr>
        <w:tblPrEx>
          <w:tblCellMar>
            <w:top w:w="0" w:type="dxa"/>
            <w:left w:w="108" w:type="dxa"/>
            <w:bottom w:w="0" w:type="dxa"/>
            <w:right w:w="108" w:type="dxa"/>
          </w:tblCellMar>
        </w:tblPrEx>
        <w:trPr>
          <w:trHeight w:val="730"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绩效指标明确性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绩效指标设置缺乏可量化的指标，绩效目标设定细化程度、可衡量性不足。</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依据绩效目标设定的绩效指标是否清晰、细化、可衡量等，用以反映和考核项目绩效目标的明细化情况。</w:t>
            </w:r>
          </w:p>
        </w:tc>
      </w:tr>
      <w:tr>
        <w:tblPrEx>
          <w:tblCellMar>
            <w:top w:w="0" w:type="dxa"/>
            <w:left w:w="108" w:type="dxa"/>
            <w:bottom w:w="0" w:type="dxa"/>
            <w:right w:w="108" w:type="dxa"/>
          </w:tblCellMar>
        </w:tblPrEx>
        <w:trPr>
          <w:trHeight w:val="701"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资金投入</w:t>
            </w:r>
          </w:p>
        </w:tc>
        <w:tc>
          <w:tcPr>
            <w:tcW w:w="56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预算编制科学性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项目预算编制是否经过科学论证、有明确标准，资金额度与年度目标是否相适应，用以反映和考核项目预算编制的科学性、合理性情况。</w:t>
            </w:r>
          </w:p>
        </w:tc>
      </w:tr>
      <w:tr>
        <w:tblPrEx>
          <w:tblCellMar>
            <w:top w:w="0" w:type="dxa"/>
            <w:left w:w="108" w:type="dxa"/>
            <w:bottom w:w="0" w:type="dxa"/>
            <w:right w:w="108" w:type="dxa"/>
          </w:tblCellMar>
        </w:tblPrEx>
        <w:trPr>
          <w:trHeight w:val="701"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56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资金分配合理性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项目预算资金分配是否有测算依据，与补助单位或地方实际是否相适应，用以反映和考核项目预算资金分配的科学性、合理性情况。</w:t>
            </w:r>
          </w:p>
        </w:tc>
      </w:tr>
      <w:tr>
        <w:tblPrEx>
          <w:tblCellMar>
            <w:top w:w="0" w:type="dxa"/>
            <w:left w:w="108" w:type="dxa"/>
            <w:bottom w:w="0" w:type="dxa"/>
            <w:right w:w="108" w:type="dxa"/>
          </w:tblCellMar>
        </w:tblPrEx>
        <w:trPr>
          <w:trHeight w:val="651" w:hRule="atLeast"/>
        </w:trPr>
        <w:tc>
          <w:tcPr>
            <w:tcW w:w="7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过程</w:t>
            </w:r>
          </w:p>
        </w:tc>
        <w:tc>
          <w:tcPr>
            <w:tcW w:w="65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资金管理</w:t>
            </w:r>
          </w:p>
        </w:tc>
        <w:tc>
          <w:tcPr>
            <w:tcW w:w="5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实际到位资金与预算资金的比率，用以反映和考核资金落实情况对项目实施的总体保障程度。</w:t>
            </w:r>
          </w:p>
        </w:tc>
      </w:tr>
      <w:tr>
        <w:tblPrEx>
          <w:tblCellMar>
            <w:top w:w="0" w:type="dxa"/>
            <w:left w:w="108" w:type="dxa"/>
            <w:bottom w:w="0" w:type="dxa"/>
            <w:right w:w="108" w:type="dxa"/>
          </w:tblCellMar>
        </w:tblPrEx>
        <w:trPr>
          <w:trHeight w:val="593" w:hRule="atLeast"/>
        </w:trPr>
        <w:tc>
          <w:tcPr>
            <w:tcW w:w="710"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2.21</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项目预算总金额与合同约定总金额一致，但二者明细金额不一致。</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项目预算资金是否按照计划执行，用以反映或考核项目预算执行情况。</w:t>
            </w:r>
          </w:p>
        </w:tc>
      </w:tr>
      <w:tr>
        <w:tblPrEx>
          <w:tblCellMar>
            <w:top w:w="0" w:type="dxa"/>
            <w:left w:w="108" w:type="dxa"/>
            <w:bottom w:w="0" w:type="dxa"/>
            <w:right w:w="108" w:type="dxa"/>
          </w:tblCellMar>
        </w:tblPrEx>
        <w:trPr>
          <w:trHeight w:val="739" w:hRule="atLeast"/>
        </w:trPr>
        <w:tc>
          <w:tcPr>
            <w:tcW w:w="710"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资金使用合规性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项目资金使用是否符合相关的财务管理制度规定，用以反映和考核项目资金的规范运行情况。</w:t>
            </w:r>
          </w:p>
        </w:tc>
      </w:tr>
      <w:tr>
        <w:tblPrEx>
          <w:tblCellMar>
            <w:top w:w="0" w:type="dxa"/>
            <w:left w:w="108" w:type="dxa"/>
            <w:bottom w:w="0" w:type="dxa"/>
            <w:right w:w="108" w:type="dxa"/>
          </w:tblCellMar>
        </w:tblPrEx>
        <w:trPr>
          <w:trHeight w:val="730" w:hRule="atLeast"/>
        </w:trPr>
        <w:tc>
          <w:tcPr>
            <w:tcW w:w="710"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组织实施</w:t>
            </w:r>
          </w:p>
        </w:tc>
        <w:tc>
          <w:tcPr>
            <w:tcW w:w="56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管理制度健全性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应建立健全项目管理制度。</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项目实施单位的财务和业务管理制度是否健全，用以反映和考核财务和业务管理制度对项目顺利实施的保障情况。</w:t>
            </w:r>
          </w:p>
        </w:tc>
      </w:tr>
      <w:tr>
        <w:tblPrEx>
          <w:tblCellMar>
            <w:top w:w="0" w:type="dxa"/>
            <w:left w:w="108" w:type="dxa"/>
            <w:bottom w:w="0" w:type="dxa"/>
            <w:right w:w="108" w:type="dxa"/>
          </w:tblCellMar>
        </w:tblPrEx>
        <w:trPr>
          <w:trHeight w:val="573" w:hRule="atLeast"/>
        </w:trPr>
        <w:tc>
          <w:tcPr>
            <w:tcW w:w="710"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制度执行有效性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项目实施是否符合相关管理规定，用以反映和考核相关管理制度的有效执行情况。</w:t>
            </w:r>
          </w:p>
        </w:tc>
      </w:tr>
      <w:tr>
        <w:tblPrEx>
          <w:tblCellMar>
            <w:top w:w="0" w:type="dxa"/>
            <w:left w:w="108" w:type="dxa"/>
            <w:bottom w:w="0" w:type="dxa"/>
            <w:right w:w="108" w:type="dxa"/>
          </w:tblCellMar>
        </w:tblPrEx>
        <w:trPr>
          <w:trHeight w:val="467" w:hRule="atLeast"/>
        </w:trPr>
        <w:tc>
          <w:tcPr>
            <w:tcW w:w="71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w:t>
            </w:r>
          </w:p>
        </w:tc>
        <w:tc>
          <w:tcPr>
            <w:tcW w:w="65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708"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产出数量</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实际完成率</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项目实施的实际产出数与计划产出数的比率，用以反映和考核项目产出数量目标的实现程度。</w:t>
            </w:r>
          </w:p>
        </w:tc>
      </w:tr>
      <w:tr>
        <w:tblPrEx>
          <w:tblCellMar>
            <w:top w:w="0" w:type="dxa"/>
            <w:left w:w="108" w:type="dxa"/>
            <w:bottom w:w="0" w:type="dxa"/>
            <w:right w:w="108" w:type="dxa"/>
          </w:tblCellMar>
        </w:tblPrEx>
        <w:trPr>
          <w:trHeight w:val="720"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tcBorders>
              <w:top w:val="nil"/>
              <w:left w:val="nil"/>
              <w:bottom w:val="nil"/>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产出质量</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61" w:type="dxa"/>
            <w:tcBorders>
              <w:top w:val="nil"/>
              <w:left w:val="nil"/>
              <w:bottom w:val="nil"/>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质量达标率</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nil"/>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项目完成的质量达标产出数与实际产出数的比率，用以反映和考核项目产出质量目标的实现程度。</w:t>
            </w:r>
          </w:p>
        </w:tc>
      </w:tr>
      <w:tr>
        <w:tblPrEx>
          <w:tblCellMar>
            <w:top w:w="0" w:type="dxa"/>
            <w:left w:w="108" w:type="dxa"/>
            <w:bottom w:w="0" w:type="dxa"/>
            <w:right w:w="108" w:type="dxa"/>
          </w:tblCellMar>
        </w:tblPrEx>
        <w:trPr>
          <w:trHeight w:val="642"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产出时效</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61"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完成及时性</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项目实际完成时间与计划完成时间的比较，用以反映和考核项目产出时效目标的实现程度。</w:t>
            </w:r>
          </w:p>
        </w:tc>
      </w:tr>
      <w:tr>
        <w:tblPrEx>
          <w:tblCellMar>
            <w:top w:w="0" w:type="dxa"/>
            <w:left w:w="108" w:type="dxa"/>
            <w:bottom w:w="0" w:type="dxa"/>
            <w:right w:w="108" w:type="dxa"/>
          </w:tblCellMar>
        </w:tblPrEx>
        <w:trPr>
          <w:trHeight w:val="720"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产出成本</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成本节约率</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完成项目计划工作目标的实际节约成本与计划成本的比率，用以反映和考核项目的成本节约程度。</w:t>
            </w:r>
          </w:p>
        </w:tc>
      </w:tr>
      <w:tr>
        <w:tblPrEx>
          <w:tblCellMar>
            <w:top w:w="0" w:type="dxa"/>
            <w:left w:w="108" w:type="dxa"/>
            <w:bottom w:w="0" w:type="dxa"/>
            <w:right w:w="108" w:type="dxa"/>
          </w:tblCellMar>
        </w:tblPrEx>
        <w:trPr>
          <w:trHeight w:val="603"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restart"/>
            <w:tcBorders>
              <w:top w:val="nil"/>
              <w:left w:val="single" w:color="auto" w:sz="4" w:space="0"/>
              <w:right w:val="single" w:color="auto" w:sz="4" w:space="0"/>
            </w:tcBorders>
            <w:vAlign w:val="center"/>
          </w:tcPr>
          <w:p>
            <w:pPr>
              <w:widowControl/>
              <w:spacing w:before="0" w:after="0" w:line="240" w:lineRule="auto"/>
              <w:ind w:left="0" w:leftChars="0"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项目实施效益</w:t>
            </w:r>
          </w:p>
        </w:tc>
        <w:tc>
          <w:tcPr>
            <w:tcW w:w="567" w:type="dxa"/>
            <w:vMerge w:val="restart"/>
            <w:tcBorders>
              <w:top w:val="nil"/>
              <w:left w:val="single" w:color="auto" w:sz="4" w:space="0"/>
              <w:right w:val="single" w:color="auto" w:sz="4" w:space="0"/>
            </w:tcBorders>
            <w:vAlign w:val="center"/>
          </w:tcPr>
          <w:p>
            <w:pPr>
              <w:widowControl/>
              <w:spacing w:before="0" w:after="0" w:line="240" w:lineRule="auto"/>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w:t>
            </w: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8.75</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体现依据不够充分。</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项目实施是否产生直接或间接社会效益</w:t>
            </w:r>
          </w:p>
        </w:tc>
      </w:tr>
      <w:tr>
        <w:tblPrEx>
          <w:tblCellMar>
            <w:top w:w="0" w:type="dxa"/>
            <w:left w:w="108" w:type="dxa"/>
            <w:bottom w:w="0" w:type="dxa"/>
            <w:right w:w="108" w:type="dxa"/>
          </w:tblCellMar>
        </w:tblPrEx>
        <w:trPr>
          <w:trHeight w:val="603" w:hRule="atLeast"/>
        </w:trPr>
        <w:tc>
          <w:tcPr>
            <w:tcW w:w="710"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000000"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6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可持续影响</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50"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具有一定的可持续性影响。</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项目实施是否具有可持续影响</w:t>
            </w:r>
          </w:p>
        </w:tc>
      </w:tr>
      <w:tr>
        <w:tblPrEx>
          <w:tblCellMar>
            <w:top w:w="0" w:type="dxa"/>
            <w:left w:w="108" w:type="dxa"/>
            <w:bottom w:w="0" w:type="dxa"/>
            <w:right w:w="108" w:type="dxa"/>
          </w:tblCellMar>
        </w:tblPrEx>
        <w:trPr>
          <w:trHeight w:val="1451" w:hRule="atLeast"/>
        </w:trPr>
        <w:tc>
          <w:tcPr>
            <w:tcW w:w="710"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657" w:type="dxa"/>
            <w:vMerge w:val="continue"/>
            <w:tcBorders>
              <w:top w:val="nil"/>
              <w:left w:val="single" w:color="auto" w:sz="4" w:space="0"/>
              <w:bottom w:val="single" w:color="auto" w:sz="4" w:space="0"/>
              <w:right w:val="single" w:color="auto" w:sz="4" w:space="0"/>
            </w:tcBorders>
            <w:vAlign w:val="center"/>
          </w:tcPr>
          <w:p>
            <w:pPr>
              <w:widowControl/>
              <w:spacing w:before="0" w:after="0" w:line="240" w:lineRule="auto"/>
              <w:ind w:firstLine="0" w:firstLineChars="0"/>
              <w:jc w:val="left"/>
              <w:rPr>
                <w:rFonts w:ascii="宋体" w:hAnsi="宋体" w:eastAsia="宋体" w:cs="宋体"/>
                <w:color w:val="000000"/>
                <w:kern w:val="0"/>
                <w:sz w:val="18"/>
                <w:szCs w:val="18"/>
              </w:rPr>
            </w:pPr>
          </w:p>
        </w:tc>
        <w:tc>
          <w:tcPr>
            <w:tcW w:w="708"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61"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w:t>
            </w:r>
          </w:p>
        </w:tc>
        <w:tc>
          <w:tcPr>
            <w:tcW w:w="567"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50" w:type="dxa"/>
            <w:tcBorders>
              <w:top w:val="nil"/>
              <w:left w:val="nil"/>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701"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调查问卷仅对项目的服务质量、</w:t>
            </w:r>
            <w:r>
              <w:rPr>
                <w:rFonts w:hint="eastAsia" w:ascii="宋体" w:hAnsi="宋体" w:eastAsia="宋体" w:cs="宋体"/>
                <w:color w:val="000000"/>
                <w:kern w:val="0"/>
                <w:sz w:val="18"/>
                <w:szCs w:val="18"/>
                <w:lang w:val="en-US" w:eastAsia="zh-CN"/>
              </w:rPr>
              <w:t>授课老师</w:t>
            </w:r>
            <w:r>
              <w:rPr>
                <w:rFonts w:hint="eastAsia" w:ascii="宋体" w:hAnsi="宋体" w:eastAsia="宋体" w:cs="宋体"/>
                <w:color w:val="000000"/>
                <w:kern w:val="0"/>
                <w:sz w:val="18"/>
                <w:szCs w:val="18"/>
              </w:rPr>
              <w:t>表现进行了满意度调查，不能充分反映项目实施的效果。</w:t>
            </w:r>
          </w:p>
        </w:tc>
        <w:tc>
          <w:tcPr>
            <w:tcW w:w="2835" w:type="dxa"/>
            <w:tcBorders>
              <w:top w:val="nil"/>
              <w:left w:val="nil"/>
              <w:bottom w:val="single" w:color="auto" w:sz="4" w:space="0"/>
              <w:right w:val="single" w:color="auto" w:sz="4" w:space="0"/>
            </w:tcBorders>
            <w:shd w:val="clear" w:color="auto" w:fill="auto"/>
            <w:vAlign w:val="center"/>
          </w:tcPr>
          <w:p>
            <w:pPr>
              <w:widowControl/>
              <w:spacing w:before="0" w:after="0" w:line="240" w:lineRule="auto"/>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项目预期服务对象对项目实施效果的满意度</w:t>
            </w:r>
          </w:p>
        </w:tc>
      </w:tr>
      <w:tr>
        <w:tblPrEx>
          <w:tblCellMar>
            <w:top w:w="0" w:type="dxa"/>
            <w:left w:w="108" w:type="dxa"/>
            <w:bottom w:w="0" w:type="dxa"/>
            <w:right w:w="108" w:type="dxa"/>
          </w:tblCellMar>
        </w:tblPrEx>
        <w:trPr>
          <w:trHeight w:val="301"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6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eastAsia="Times New Roman"/>
                <w:kern w:val="0"/>
                <w:sz w:val="20"/>
                <w:szCs w:val="20"/>
              </w:rPr>
            </w:pPr>
            <w:r>
              <w:rPr>
                <w:rFonts w:hint="eastAsia" w:asciiTheme="minorEastAsia" w:hAnsiTheme="minorEastAsia" w:eastAsiaTheme="minorEastAsia"/>
                <w:kern w:val="0"/>
                <w:sz w:val="20"/>
                <w:szCs w:val="20"/>
              </w:rPr>
              <w:t>100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eastAsia="Times New Roman"/>
                <w:kern w:val="0"/>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eastAsia="Times New Roman"/>
                <w:kern w:val="0"/>
                <w:sz w:val="20"/>
                <w:szCs w:val="20"/>
              </w:rPr>
            </w:pPr>
            <w:r>
              <w:rPr>
                <w:rFonts w:hint="eastAsia" w:asciiTheme="minorEastAsia" w:hAnsiTheme="minorEastAsia" w:eastAsiaTheme="minorEastAsia"/>
                <w:kern w:val="0"/>
                <w:sz w:val="20"/>
                <w:szCs w:val="20"/>
              </w:rPr>
              <w:t>100</w:t>
            </w:r>
          </w:p>
        </w:tc>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after="0" w:line="240" w:lineRule="auto"/>
              <w:ind w:firstLine="0" w:firstLineChars="0"/>
              <w:jc w:val="center"/>
              <w:rPr>
                <w:rFonts w:eastAsia="Times New Roman"/>
                <w:kern w:val="0"/>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before="0" w:after="0" w:line="240" w:lineRule="auto"/>
              <w:ind w:firstLine="0" w:firstLineChars="0"/>
              <w:jc w:val="center"/>
              <w:rPr>
                <w:rFonts w:eastAsiaTheme="minorEastAsia"/>
                <w:kern w:val="0"/>
                <w:sz w:val="20"/>
                <w:szCs w:val="20"/>
              </w:rPr>
            </w:pPr>
            <w:r>
              <w:rPr>
                <w:rFonts w:hint="eastAsia" w:eastAsiaTheme="minorEastAsia"/>
                <w:kern w:val="0"/>
                <w:sz w:val="20"/>
                <w:szCs w:val="20"/>
              </w:rPr>
              <w:t>1</w:t>
            </w:r>
            <w:r>
              <w:rPr>
                <w:rFonts w:eastAsiaTheme="minorEastAsia"/>
                <w:kern w:val="0"/>
                <w:sz w:val="20"/>
                <w:szCs w:val="20"/>
              </w:rPr>
              <w:t>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before="0" w:after="0" w:line="240" w:lineRule="auto"/>
              <w:ind w:firstLine="0" w:firstLineChars="0"/>
              <w:jc w:val="center"/>
              <w:rPr>
                <w:rFonts w:hint="default" w:eastAsiaTheme="minorEastAsia"/>
                <w:kern w:val="0"/>
                <w:sz w:val="20"/>
                <w:szCs w:val="20"/>
                <w:lang w:val="en-US" w:eastAsia="zh-CN"/>
              </w:rPr>
            </w:pPr>
            <w:r>
              <w:rPr>
                <w:rFonts w:hint="eastAsia" w:asciiTheme="minorEastAsia" w:hAnsiTheme="minorEastAsia" w:eastAsiaTheme="minorEastAsia"/>
                <w:kern w:val="0"/>
                <w:sz w:val="20"/>
                <w:szCs w:val="20"/>
              </w:rPr>
              <w:t>9</w:t>
            </w:r>
            <w:r>
              <w:rPr>
                <w:rFonts w:hint="eastAsia" w:asciiTheme="minorEastAsia" w:hAnsiTheme="minorEastAsia" w:eastAsiaTheme="minorEastAsia"/>
                <w:kern w:val="0"/>
                <w:sz w:val="20"/>
                <w:szCs w:val="20"/>
                <w:lang w:val="en-US" w:eastAsia="zh-CN"/>
              </w:rPr>
              <w:t>2.96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before="0" w:after="0" w:line="240" w:lineRule="auto"/>
              <w:ind w:firstLine="0" w:firstLineChars="0"/>
              <w:jc w:val="left"/>
              <w:rPr>
                <w:rFonts w:eastAsia="Times New Roman"/>
                <w:kern w:val="0"/>
                <w:sz w:val="20"/>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before="0" w:after="0" w:line="240" w:lineRule="auto"/>
              <w:ind w:firstLine="0" w:firstLineChars="0"/>
              <w:jc w:val="left"/>
              <w:rPr>
                <w:rFonts w:eastAsia="Times New Roman"/>
                <w:kern w:val="0"/>
                <w:sz w:val="20"/>
                <w:szCs w:val="20"/>
              </w:rPr>
            </w:pPr>
          </w:p>
        </w:tc>
      </w:tr>
    </w:tbl>
    <w:p>
      <w:pPr>
        <w:ind w:firstLine="640"/>
        <w:rPr>
          <w:rFonts w:ascii="仿宋" w:hAnsi="仿宋" w:eastAsia="仿宋"/>
        </w:rPr>
      </w:pPr>
    </w:p>
    <w:p>
      <w:pPr>
        <w:spacing w:before="0" w:after="0" w:line="60" w:lineRule="exact"/>
        <w:ind w:firstLine="0" w:firstLineChars="0"/>
        <w:rPr>
          <w:rFonts w:ascii="仿宋" w:hAnsi="仿宋" w:eastAsia="仿宋"/>
        </w:rPr>
      </w:pPr>
    </w:p>
    <w:sectPr>
      <w:footerReference r:id="rId11" w:type="default"/>
      <w:pgSz w:w="11906" w:h="16838"/>
      <w:pgMar w:top="1440" w:right="1797" w:bottom="1440" w:left="179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uto"/>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469744"/>
    </w:sdtPr>
    <w:sdtContent>
      <w:p>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pPr>
      <w:pStyle w:val="10"/>
      <w:spacing w:line="240" w:lineRule="auto"/>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line="240" w:lineRule="aut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47AB5"/>
    <w:multiLevelType w:val="multilevel"/>
    <w:tmpl w:val="3DF47AB5"/>
    <w:lvl w:ilvl="0" w:tentative="0">
      <w:start w:val="1"/>
      <w:numFmt w:val="chineseCountingThousand"/>
      <w:pStyle w:val="3"/>
      <w:suff w:val="nothing"/>
      <w:lvlText w:val="%1、"/>
      <w:lvlJc w:val="left"/>
      <w:pPr>
        <w:ind w:left="0" w:firstLine="0"/>
      </w:pPr>
      <w:rPr>
        <w:rFonts w:hint="eastAsia"/>
      </w:rPr>
    </w:lvl>
    <w:lvl w:ilvl="1" w:tentative="0">
      <w:start w:val="1"/>
      <w:numFmt w:val="chineseCountingThousand"/>
      <w:pStyle w:val="5"/>
      <w:suff w:val="nothing"/>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mNhYzI0OWM3YjZiMjQ4OTZkNzQ2ZGRkOGQzMDYifQ=="/>
  </w:docVars>
  <w:rsids>
    <w:rsidRoot w:val="00823497"/>
    <w:rsid w:val="00000487"/>
    <w:rsid w:val="00004A74"/>
    <w:rsid w:val="00006438"/>
    <w:rsid w:val="00012587"/>
    <w:rsid w:val="00015B86"/>
    <w:rsid w:val="0001635C"/>
    <w:rsid w:val="000163C2"/>
    <w:rsid w:val="00016F4D"/>
    <w:rsid w:val="0001718C"/>
    <w:rsid w:val="000211D7"/>
    <w:rsid w:val="00022A76"/>
    <w:rsid w:val="00027C72"/>
    <w:rsid w:val="0004445A"/>
    <w:rsid w:val="00061D34"/>
    <w:rsid w:val="00081DA0"/>
    <w:rsid w:val="00086DF4"/>
    <w:rsid w:val="0009073A"/>
    <w:rsid w:val="00092962"/>
    <w:rsid w:val="000976E8"/>
    <w:rsid w:val="000A548C"/>
    <w:rsid w:val="000A7910"/>
    <w:rsid w:val="000B5F9B"/>
    <w:rsid w:val="000C02B3"/>
    <w:rsid w:val="000C1AB7"/>
    <w:rsid w:val="000C2BBE"/>
    <w:rsid w:val="000C7FDE"/>
    <w:rsid w:val="000D6DE9"/>
    <w:rsid w:val="000E1A46"/>
    <w:rsid w:val="000E1AB8"/>
    <w:rsid w:val="000E460D"/>
    <w:rsid w:val="000E4F7C"/>
    <w:rsid w:val="000E7FF2"/>
    <w:rsid w:val="000F2B8F"/>
    <w:rsid w:val="000F73FF"/>
    <w:rsid w:val="00101DF5"/>
    <w:rsid w:val="00110926"/>
    <w:rsid w:val="00113AF1"/>
    <w:rsid w:val="0012305E"/>
    <w:rsid w:val="00123926"/>
    <w:rsid w:val="00123D25"/>
    <w:rsid w:val="001241B1"/>
    <w:rsid w:val="0012737C"/>
    <w:rsid w:val="00142F73"/>
    <w:rsid w:val="00143847"/>
    <w:rsid w:val="0015290B"/>
    <w:rsid w:val="00163470"/>
    <w:rsid w:val="001716EE"/>
    <w:rsid w:val="00172D91"/>
    <w:rsid w:val="0017373E"/>
    <w:rsid w:val="001765CA"/>
    <w:rsid w:val="00176E0A"/>
    <w:rsid w:val="00181690"/>
    <w:rsid w:val="00190484"/>
    <w:rsid w:val="001932FA"/>
    <w:rsid w:val="001A36FF"/>
    <w:rsid w:val="001A3DDF"/>
    <w:rsid w:val="001A656D"/>
    <w:rsid w:val="001B192E"/>
    <w:rsid w:val="001B3A33"/>
    <w:rsid w:val="001B487D"/>
    <w:rsid w:val="001B5CD7"/>
    <w:rsid w:val="001C1B8B"/>
    <w:rsid w:val="001C79DC"/>
    <w:rsid w:val="001C7AA9"/>
    <w:rsid w:val="001D03A2"/>
    <w:rsid w:val="001D3DF0"/>
    <w:rsid w:val="001D4619"/>
    <w:rsid w:val="001E67FC"/>
    <w:rsid w:val="001E7831"/>
    <w:rsid w:val="001F042F"/>
    <w:rsid w:val="001F0A9D"/>
    <w:rsid w:val="001F358F"/>
    <w:rsid w:val="001F60B5"/>
    <w:rsid w:val="001F7BF3"/>
    <w:rsid w:val="00214975"/>
    <w:rsid w:val="00220E03"/>
    <w:rsid w:val="0022178A"/>
    <w:rsid w:val="00222121"/>
    <w:rsid w:val="002224D6"/>
    <w:rsid w:val="00223CDF"/>
    <w:rsid w:val="00232283"/>
    <w:rsid w:val="00236AA9"/>
    <w:rsid w:val="00245EE2"/>
    <w:rsid w:val="00250106"/>
    <w:rsid w:val="00251CB5"/>
    <w:rsid w:val="0025682F"/>
    <w:rsid w:val="002640F3"/>
    <w:rsid w:val="00270BFB"/>
    <w:rsid w:val="002749C2"/>
    <w:rsid w:val="002750A3"/>
    <w:rsid w:val="0028036B"/>
    <w:rsid w:val="002818A7"/>
    <w:rsid w:val="002821C8"/>
    <w:rsid w:val="002843C6"/>
    <w:rsid w:val="002847AF"/>
    <w:rsid w:val="0028662A"/>
    <w:rsid w:val="00293575"/>
    <w:rsid w:val="002B34CB"/>
    <w:rsid w:val="002B6AB2"/>
    <w:rsid w:val="002C1B12"/>
    <w:rsid w:val="002C22A3"/>
    <w:rsid w:val="002C279C"/>
    <w:rsid w:val="002C2998"/>
    <w:rsid w:val="002C3013"/>
    <w:rsid w:val="002C6649"/>
    <w:rsid w:val="002D15D4"/>
    <w:rsid w:val="002D356B"/>
    <w:rsid w:val="002D6D2C"/>
    <w:rsid w:val="002E3873"/>
    <w:rsid w:val="002E560B"/>
    <w:rsid w:val="002E6A48"/>
    <w:rsid w:val="002F282C"/>
    <w:rsid w:val="002F5416"/>
    <w:rsid w:val="002F5A37"/>
    <w:rsid w:val="002F5F55"/>
    <w:rsid w:val="00301A8E"/>
    <w:rsid w:val="0030615A"/>
    <w:rsid w:val="00310B9C"/>
    <w:rsid w:val="00312E4B"/>
    <w:rsid w:val="00316D98"/>
    <w:rsid w:val="0032162D"/>
    <w:rsid w:val="003362DC"/>
    <w:rsid w:val="00341302"/>
    <w:rsid w:val="0034311F"/>
    <w:rsid w:val="00345F32"/>
    <w:rsid w:val="00346836"/>
    <w:rsid w:val="0035073B"/>
    <w:rsid w:val="00355496"/>
    <w:rsid w:val="003567F3"/>
    <w:rsid w:val="00356937"/>
    <w:rsid w:val="003579C8"/>
    <w:rsid w:val="00364B78"/>
    <w:rsid w:val="0036563F"/>
    <w:rsid w:val="00365A6B"/>
    <w:rsid w:val="00371004"/>
    <w:rsid w:val="00392D9F"/>
    <w:rsid w:val="003A09C9"/>
    <w:rsid w:val="003A3114"/>
    <w:rsid w:val="003A49FD"/>
    <w:rsid w:val="003A5F4E"/>
    <w:rsid w:val="003A7DE8"/>
    <w:rsid w:val="003B1F5F"/>
    <w:rsid w:val="003B32F0"/>
    <w:rsid w:val="003B6581"/>
    <w:rsid w:val="003B7804"/>
    <w:rsid w:val="003C3E46"/>
    <w:rsid w:val="003C588B"/>
    <w:rsid w:val="003D2665"/>
    <w:rsid w:val="003D34CD"/>
    <w:rsid w:val="003D4D74"/>
    <w:rsid w:val="003E0814"/>
    <w:rsid w:val="003E0E74"/>
    <w:rsid w:val="003E3975"/>
    <w:rsid w:val="003E492F"/>
    <w:rsid w:val="003E6348"/>
    <w:rsid w:val="003E6916"/>
    <w:rsid w:val="003F4133"/>
    <w:rsid w:val="003F5DD2"/>
    <w:rsid w:val="00400FB4"/>
    <w:rsid w:val="004021DA"/>
    <w:rsid w:val="004037C4"/>
    <w:rsid w:val="0040675D"/>
    <w:rsid w:val="004119C8"/>
    <w:rsid w:val="004243DA"/>
    <w:rsid w:val="00430E9C"/>
    <w:rsid w:val="00434808"/>
    <w:rsid w:val="004401D7"/>
    <w:rsid w:val="00443A09"/>
    <w:rsid w:val="00461AF2"/>
    <w:rsid w:val="0046306F"/>
    <w:rsid w:val="004675F2"/>
    <w:rsid w:val="004718CC"/>
    <w:rsid w:val="004822A8"/>
    <w:rsid w:val="0048641D"/>
    <w:rsid w:val="004A065B"/>
    <w:rsid w:val="004A7869"/>
    <w:rsid w:val="004C2A2B"/>
    <w:rsid w:val="004C3AF7"/>
    <w:rsid w:val="004D000A"/>
    <w:rsid w:val="004D0C28"/>
    <w:rsid w:val="004D7C8E"/>
    <w:rsid w:val="004E0482"/>
    <w:rsid w:val="004E5E87"/>
    <w:rsid w:val="004F002C"/>
    <w:rsid w:val="004F0ADD"/>
    <w:rsid w:val="004F6719"/>
    <w:rsid w:val="005111B4"/>
    <w:rsid w:val="00511991"/>
    <w:rsid w:val="00517B62"/>
    <w:rsid w:val="00521531"/>
    <w:rsid w:val="00534469"/>
    <w:rsid w:val="0053596B"/>
    <w:rsid w:val="00535CBC"/>
    <w:rsid w:val="0053780D"/>
    <w:rsid w:val="00540EFF"/>
    <w:rsid w:val="005437E7"/>
    <w:rsid w:val="00544E29"/>
    <w:rsid w:val="00545770"/>
    <w:rsid w:val="00547FA9"/>
    <w:rsid w:val="0055545E"/>
    <w:rsid w:val="00557789"/>
    <w:rsid w:val="00560A3E"/>
    <w:rsid w:val="00562030"/>
    <w:rsid w:val="00566162"/>
    <w:rsid w:val="00570895"/>
    <w:rsid w:val="00576EE5"/>
    <w:rsid w:val="005808CF"/>
    <w:rsid w:val="0059415E"/>
    <w:rsid w:val="00595C90"/>
    <w:rsid w:val="005A135C"/>
    <w:rsid w:val="005B741E"/>
    <w:rsid w:val="005C424B"/>
    <w:rsid w:val="005C7FCA"/>
    <w:rsid w:val="005D4F66"/>
    <w:rsid w:val="005D6183"/>
    <w:rsid w:val="005E0C8C"/>
    <w:rsid w:val="005E1209"/>
    <w:rsid w:val="005E242D"/>
    <w:rsid w:val="005E5C1B"/>
    <w:rsid w:val="005F41D8"/>
    <w:rsid w:val="005F47D0"/>
    <w:rsid w:val="00602486"/>
    <w:rsid w:val="006042F2"/>
    <w:rsid w:val="00606D9F"/>
    <w:rsid w:val="00611EB3"/>
    <w:rsid w:val="00630BBF"/>
    <w:rsid w:val="00636D8A"/>
    <w:rsid w:val="00640E86"/>
    <w:rsid w:val="006461C3"/>
    <w:rsid w:val="00651D24"/>
    <w:rsid w:val="006520E2"/>
    <w:rsid w:val="006541EC"/>
    <w:rsid w:val="00655733"/>
    <w:rsid w:val="006570BE"/>
    <w:rsid w:val="00657A86"/>
    <w:rsid w:val="00661E4A"/>
    <w:rsid w:val="00666D2E"/>
    <w:rsid w:val="00674758"/>
    <w:rsid w:val="00675AF0"/>
    <w:rsid w:val="00683538"/>
    <w:rsid w:val="00685C6F"/>
    <w:rsid w:val="00686ECE"/>
    <w:rsid w:val="00687311"/>
    <w:rsid w:val="006878AC"/>
    <w:rsid w:val="00692B6C"/>
    <w:rsid w:val="00692FDF"/>
    <w:rsid w:val="0069756B"/>
    <w:rsid w:val="00697B98"/>
    <w:rsid w:val="006B1F45"/>
    <w:rsid w:val="006B7C9B"/>
    <w:rsid w:val="006C33AF"/>
    <w:rsid w:val="006C7573"/>
    <w:rsid w:val="006D0A06"/>
    <w:rsid w:val="006D4746"/>
    <w:rsid w:val="006E2A74"/>
    <w:rsid w:val="006F05E1"/>
    <w:rsid w:val="006F2059"/>
    <w:rsid w:val="006F6BE8"/>
    <w:rsid w:val="00701F3F"/>
    <w:rsid w:val="0070249E"/>
    <w:rsid w:val="007025DE"/>
    <w:rsid w:val="00707160"/>
    <w:rsid w:val="00714645"/>
    <w:rsid w:val="00715614"/>
    <w:rsid w:val="0071662B"/>
    <w:rsid w:val="007213CD"/>
    <w:rsid w:val="0072225F"/>
    <w:rsid w:val="0072681A"/>
    <w:rsid w:val="00727B1A"/>
    <w:rsid w:val="00731C5F"/>
    <w:rsid w:val="007426B4"/>
    <w:rsid w:val="00750D0A"/>
    <w:rsid w:val="007523C2"/>
    <w:rsid w:val="00754D14"/>
    <w:rsid w:val="00760B91"/>
    <w:rsid w:val="00764B89"/>
    <w:rsid w:val="00766A76"/>
    <w:rsid w:val="007675AB"/>
    <w:rsid w:val="00771D39"/>
    <w:rsid w:val="00775356"/>
    <w:rsid w:val="0077662A"/>
    <w:rsid w:val="0077763E"/>
    <w:rsid w:val="0078061C"/>
    <w:rsid w:val="00780814"/>
    <w:rsid w:val="0078694A"/>
    <w:rsid w:val="00787BCF"/>
    <w:rsid w:val="0079318E"/>
    <w:rsid w:val="00795D16"/>
    <w:rsid w:val="007A2DC3"/>
    <w:rsid w:val="007A3DB9"/>
    <w:rsid w:val="007B0068"/>
    <w:rsid w:val="007B28D7"/>
    <w:rsid w:val="007B2D33"/>
    <w:rsid w:val="007C2AF0"/>
    <w:rsid w:val="007C7B50"/>
    <w:rsid w:val="007D00DE"/>
    <w:rsid w:val="007D3E0C"/>
    <w:rsid w:val="007D56C4"/>
    <w:rsid w:val="007D63ED"/>
    <w:rsid w:val="007E095F"/>
    <w:rsid w:val="007E0B9B"/>
    <w:rsid w:val="007E74FC"/>
    <w:rsid w:val="007F31A8"/>
    <w:rsid w:val="007F3405"/>
    <w:rsid w:val="00801F38"/>
    <w:rsid w:val="00803F6D"/>
    <w:rsid w:val="00811373"/>
    <w:rsid w:val="008115CC"/>
    <w:rsid w:val="008118CE"/>
    <w:rsid w:val="00812781"/>
    <w:rsid w:val="008178C4"/>
    <w:rsid w:val="00820A2A"/>
    <w:rsid w:val="00821047"/>
    <w:rsid w:val="00823497"/>
    <w:rsid w:val="008237EA"/>
    <w:rsid w:val="0082430F"/>
    <w:rsid w:val="008252EE"/>
    <w:rsid w:val="00831D71"/>
    <w:rsid w:val="0083280C"/>
    <w:rsid w:val="00834D42"/>
    <w:rsid w:val="008463D6"/>
    <w:rsid w:val="0085105E"/>
    <w:rsid w:val="00855B01"/>
    <w:rsid w:val="008604B2"/>
    <w:rsid w:val="008610AA"/>
    <w:rsid w:val="0086195A"/>
    <w:rsid w:val="00871802"/>
    <w:rsid w:val="00873164"/>
    <w:rsid w:val="00877741"/>
    <w:rsid w:val="00885364"/>
    <w:rsid w:val="008938B0"/>
    <w:rsid w:val="008A10E8"/>
    <w:rsid w:val="008A6188"/>
    <w:rsid w:val="008B1771"/>
    <w:rsid w:val="008B419D"/>
    <w:rsid w:val="008B7608"/>
    <w:rsid w:val="008B794E"/>
    <w:rsid w:val="008C4E77"/>
    <w:rsid w:val="008D564D"/>
    <w:rsid w:val="008E1B3F"/>
    <w:rsid w:val="008F1297"/>
    <w:rsid w:val="008F2352"/>
    <w:rsid w:val="00911224"/>
    <w:rsid w:val="00915EDD"/>
    <w:rsid w:val="00920D34"/>
    <w:rsid w:val="00923B49"/>
    <w:rsid w:val="009249FA"/>
    <w:rsid w:val="00924CE5"/>
    <w:rsid w:val="00932C64"/>
    <w:rsid w:val="009428E2"/>
    <w:rsid w:val="009460EE"/>
    <w:rsid w:val="0095314A"/>
    <w:rsid w:val="00957852"/>
    <w:rsid w:val="00957E0D"/>
    <w:rsid w:val="00963A82"/>
    <w:rsid w:val="009640B3"/>
    <w:rsid w:val="0096643F"/>
    <w:rsid w:val="00970F50"/>
    <w:rsid w:val="0098672B"/>
    <w:rsid w:val="0099013C"/>
    <w:rsid w:val="00994299"/>
    <w:rsid w:val="00994B8B"/>
    <w:rsid w:val="00997515"/>
    <w:rsid w:val="009A6A74"/>
    <w:rsid w:val="009B67DA"/>
    <w:rsid w:val="009C0648"/>
    <w:rsid w:val="009C084D"/>
    <w:rsid w:val="009C1187"/>
    <w:rsid w:val="009C2C27"/>
    <w:rsid w:val="009C4811"/>
    <w:rsid w:val="009D3D38"/>
    <w:rsid w:val="009D6A4A"/>
    <w:rsid w:val="009D6F4D"/>
    <w:rsid w:val="009E29BC"/>
    <w:rsid w:val="009E2AA8"/>
    <w:rsid w:val="009F1156"/>
    <w:rsid w:val="009F51EF"/>
    <w:rsid w:val="00A028DA"/>
    <w:rsid w:val="00A15244"/>
    <w:rsid w:val="00A21C7D"/>
    <w:rsid w:val="00A2239A"/>
    <w:rsid w:val="00A25889"/>
    <w:rsid w:val="00A26111"/>
    <w:rsid w:val="00A27945"/>
    <w:rsid w:val="00A3456D"/>
    <w:rsid w:val="00A36155"/>
    <w:rsid w:val="00A515FD"/>
    <w:rsid w:val="00A52C30"/>
    <w:rsid w:val="00A54713"/>
    <w:rsid w:val="00A57A0C"/>
    <w:rsid w:val="00A62617"/>
    <w:rsid w:val="00A674F0"/>
    <w:rsid w:val="00A75B5E"/>
    <w:rsid w:val="00A82F0C"/>
    <w:rsid w:val="00A84AEA"/>
    <w:rsid w:val="00A9614F"/>
    <w:rsid w:val="00A967B2"/>
    <w:rsid w:val="00A978A2"/>
    <w:rsid w:val="00A97D54"/>
    <w:rsid w:val="00AA007E"/>
    <w:rsid w:val="00AA2532"/>
    <w:rsid w:val="00AB1359"/>
    <w:rsid w:val="00AB4C4F"/>
    <w:rsid w:val="00AB61E6"/>
    <w:rsid w:val="00AC053B"/>
    <w:rsid w:val="00AC1713"/>
    <w:rsid w:val="00AD2546"/>
    <w:rsid w:val="00AD6CE5"/>
    <w:rsid w:val="00AE5AF2"/>
    <w:rsid w:val="00AF5F39"/>
    <w:rsid w:val="00AF5FFB"/>
    <w:rsid w:val="00B0332E"/>
    <w:rsid w:val="00B04AD0"/>
    <w:rsid w:val="00B05207"/>
    <w:rsid w:val="00B05B1F"/>
    <w:rsid w:val="00B079B4"/>
    <w:rsid w:val="00B1126B"/>
    <w:rsid w:val="00B219DC"/>
    <w:rsid w:val="00B2271D"/>
    <w:rsid w:val="00B24C9E"/>
    <w:rsid w:val="00B26601"/>
    <w:rsid w:val="00B2716B"/>
    <w:rsid w:val="00B34011"/>
    <w:rsid w:val="00B40D67"/>
    <w:rsid w:val="00B42BCB"/>
    <w:rsid w:val="00B47488"/>
    <w:rsid w:val="00B5192F"/>
    <w:rsid w:val="00B556CF"/>
    <w:rsid w:val="00B61346"/>
    <w:rsid w:val="00B615F4"/>
    <w:rsid w:val="00B652EC"/>
    <w:rsid w:val="00B70880"/>
    <w:rsid w:val="00B721A3"/>
    <w:rsid w:val="00B72E73"/>
    <w:rsid w:val="00B74952"/>
    <w:rsid w:val="00B74BE6"/>
    <w:rsid w:val="00B74C02"/>
    <w:rsid w:val="00B827B0"/>
    <w:rsid w:val="00B82957"/>
    <w:rsid w:val="00B8579E"/>
    <w:rsid w:val="00B87C02"/>
    <w:rsid w:val="00B924C3"/>
    <w:rsid w:val="00B9664B"/>
    <w:rsid w:val="00B97F09"/>
    <w:rsid w:val="00BA503C"/>
    <w:rsid w:val="00BA7E81"/>
    <w:rsid w:val="00BB21BF"/>
    <w:rsid w:val="00BB7731"/>
    <w:rsid w:val="00BC156D"/>
    <w:rsid w:val="00BC2BB4"/>
    <w:rsid w:val="00BC2BC6"/>
    <w:rsid w:val="00BD42BA"/>
    <w:rsid w:val="00BD56E1"/>
    <w:rsid w:val="00BD64A2"/>
    <w:rsid w:val="00BE0577"/>
    <w:rsid w:val="00BE4316"/>
    <w:rsid w:val="00BF425B"/>
    <w:rsid w:val="00BF7B2E"/>
    <w:rsid w:val="00C07392"/>
    <w:rsid w:val="00C12E3A"/>
    <w:rsid w:val="00C13113"/>
    <w:rsid w:val="00C14289"/>
    <w:rsid w:val="00C152BE"/>
    <w:rsid w:val="00C22D6A"/>
    <w:rsid w:val="00C24D9A"/>
    <w:rsid w:val="00C27130"/>
    <w:rsid w:val="00C274A6"/>
    <w:rsid w:val="00C401EF"/>
    <w:rsid w:val="00C4524B"/>
    <w:rsid w:val="00C45AD2"/>
    <w:rsid w:val="00C53212"/>
    <w:rsid w:val="00C54FE7"/>
    <w:rsid w:val="00C56682"/>
    <w:rsid w:val="00C61AE7"/>
    <w:rsid w:val="00C66116"/>
    <w:rsid w:val="00C716FB"/>
    <w:rsid w:val="00C73976"/>
    <w:rsid w:val="00C76AFB"/>
    <w:rsid w:val="00C81E39"/>
    <w:rsid w:val="00C83982"/>
    <w:rsid w:val="00C92F9A"/>
    <w:rsid w:val="00C95050"/>
    <w:rsid w:val="00C96766"/>
    <w:rsid w:val="00CA3D60"/>
    <w:rsid w:val="00CA3EC2"/>
    <w:rsid w:val="00CB4B46"/>
    <w:rsid w:val="00CC036D"/>
    <w:rsid w:val="00CC17E9"/>
    <w:rsid w:val="00CC209B"/>
    <w:rsid w:val="00CC24FE"/>
    <w:rsid w:val="00CC6FAA"/>
    <w:rsid w:val="00CE14B8"/>
    <w:rsid w:val="00CE29D5"/>
    <w:rsid w:val="00CE70D3"/>
    <w:rsid w:val="00CF0980"/>
    <w:rsid w:val="00CF6966"/>
    <w:rsid w:val="00D02956"/>
    <w:rsid w:val="00D06784"/>
    <w:rsid w:val="00D108B8"/>
    <w:rsid w:val="00D12036"/>
    <w:rsid w:val="00D214CC"/>
    <w:rsid w:val="00D2755E"/>
    <w:rsid w:val="00D335DA"/>
    <w:rsid w:val="00D35CCA"/>
    <w:rsid w:val="00D369D0"/>
    <w:rsid w:val="00D3744C"/>
    <w:rsid w:val="00D42AEF"/>
    <w:rsid w:val="00D430D6"/>
    <w:rsid w:val="00D731F7"/>
    <w:rsid w:val="00D748E6"/>
    <w:rsid w:val="00D75CF7"/>
    <w:rsid w:val="00D85D2F"/>
    <w:rsid w:val="00D85FBB"/>
    <w:rsid w:val="00D86446"/>
    <w:rsid w:val="00D90522"/>
    <w:rsid w:val="00D92DAB"/>
    <w:rsid w:val="00D96E16"/>
    <w:rsid w:val="00DA2929"/>
    <w:rsid w:val="00DA3854"/>
    <w:rsid w:val="00DA5F97"/>
    <w:rsid w:val="00DC06FB"/>
    <w:rsid w:val="00DC0F7A"/>
    <w:rsid w:val="00DC4913"/>
    <w:rsid w:val="00DC5D6D"/>
    <w:rsid w:val="00DC7720"/>
    <w:rsid w:val="00DD0077"/>
    <w:rsid w:val="00DD0509"/>
    <w:rsid w:val="00DD0FBC"/>
    <w:rsid w:val="00DE06A5"/>
    <w:rsid w:val="00DE0F82"/>
    <w:rsid w:val="00DE31B0"/>
    <w:rsid w:val="00DE658E"/>
    <w:rsid w:val="00DE78B2"/>
    <w:rsid w:val="00DF10DE"/>
    <w:rsid w:val="00E00998"/>
    <w:rsid w:val="00E10292"/>
    <w:rsid w:val="00E15C18"/>
    <w:rsid w:val="00E267FA"/>
    <w:rsid w:val="00E31151"/>
    <w:rsid w:val="00E379CA"/>
    <w:rsid w:val="00E37B1A"/>
    <w:rsid w:val="00E4019C"/>
    <w:rsid w:val="00E45199"/>
    <w:rsid w:val="00E46AEB"/>
    <w:rsid w:val="00E570E3"/>
    <w:rsid w:val="00E627A7"/>
    <w:rsid w:val="00E70DA5"/>
    <w:rsid w:val="00E71414"/>
    <w:rsid w:val="00E77C1F"/>
    <w:rsid w:val="00E86BB6"/>
    <w:rsid w:val="00E95D9F"/>
    <w:rsid w:val="00E9615D"/>
    <w:rsid w:val="00EA1231"/>
    <w:rsid w:val="00EA5DC2"/>
    <w:rsid w:val="00EA71D6"/>
    <w:rsid w:val="00EB1224"/>
    <w:rsid w:val="00EB353E"/>
    <w:rsid w:val="00EB3E92"/>
    <w:rsid w:val="00EB4528"/>
    <w:rsid w:val="00EB7A85"/>
    <w:rsid w:val="00EC40DB"/>
    <w:rsid w:val="00ED00B2"/>
    <w:rsid w:val="00ED24B3"/>
    <w:rsid w:val="00ED3AAA"/>
    <w:rsid w:val="00ED5403"/>
    <w:rsid w:val="00ED550D"/>
    <w:rsid w:val="00ED75A3"/>
    <w:rsid w:val="00EE3441"/>
    <w:rsid w:val="00EF0218"/>
    <w:rsid w:val="00EF235B"/>
    <w:rsid w:val="00F01C61"/>
    <w:rsid w:val="00F0651D"/>
    <w:rsid w:val="00F170C1"/>
    <w:rsid w:val="00F20898"/>
    <w:rsid w:val="00F2422F"/>
    <w:rsid w:val="00F25F99"/>
    <w:rsid w:val="00F26048"/>
    <w:rsid w:val="00F30EE0"/>
    <w:rsid w:val="00F354D3"/>
    <w:rsid w:val="00F40935"/>
    <w:rsid w:val="00F450A3"/>
    <w:rsid w:val="00F5120C"/>
    <w:rsid w:val="00F527B7"/>
    <w:rsid w:val="00F70BE4"/>
    <w:rsid w:val="00F71A83"/>
    <w:rsid w:val="00F73900"/>
    <w:rsid w:val="00F834BC"/>
    <w:rsid w:val="00F84D3A"/>
    <w:rsid w:val="00F85E26"/>
    <w:rsid w:val="00F8742E"/>
    <w:rsid w:val="00F87EB9"/>
    <w:rsid w:val="00F93DAF"/>
    <w:rsid w:val="00F94A97"/>
    <w:rsid w:val="00F97BE2"/>
    <w:rsid w:val="00F97D68"/>
    <w:rsid w:val="00FA2AB2"/>
    <w:rsid w:val="00FB1E97"/>
    <w:rsid w:val="00FB359E"/>
    <w:rsid w:val="00FC0A66"/>
    <w:rsid w:val="00FC789C"/>
    <w:rsid w:val="00FE32A4"/>
    <w:rsid w:val="00FF40F1"/>
    <w:rsid w:val="08297048"/>
    <w:rsid w:val="087E13CA"/>
    <w:rsid w:val="0CB57F35"/>
    <w:rsid w:val="10CD1FBE"/>
    <w:rsid w:val="127E52BA"/>
    <w:rsid w:val="1847691A"/>
    <w:rsid w:val="18F3284F"/>
    <w:rsid w:val="19B43387"/>
    <w:rsid w:val="20762FC4"/>
    <w:rsid w:val="21E57D29"/>
    <w:rsid w:val="23834DB5"/>
    <w:rsid w:val="24106116"/>
    <w:rsid w:val="28C677EE"/>
    <w:rsid w:val="291A54BC"/>
    <w:rsid w:val="2A4A431A"/>
    <w:rsid w:val="2CEF3285"/>
    <w:rsid w:val="2D0143E4"/>
    <w:rsid w:val="310E65CA"/>
    <w:rsid w:val="31FB27BB"/>
    <w:rsid w:val="320F19ED"/>
    <w:rsid w:val="336A1328"/>
    <w:rsid w:val="34A80273"/>
    <w:rsid w:val="3F77294A"/>
    <w:rsid w:val="4C1E7BC2"/>
    <w:rsid w:val="4CA05DF6"/>
    <w:rsid w:val="4E370022"/>
    <w:rsid w:val="4E8D1B89"/>
    <w:rsid w:val="55DB245A"/>
    <w:rsid w:val="56B7436E"/>
    <w:rsid w:val="58065FAF"/>
    <w:rsid w:val="58C4089A"/>
    <w:rsid w:val="58D800AC"/>
    <w:rsid w:val="5AD011F5"/>
    <w:rsid w:val="5BBA3BDA"/>
    <w:rsid w:val="60FE2E6E"/>
    <w:rsid w:val="627D7A8D"/>
    <w:rsid w:val="63431527"/>
    <w:rsid w:val="6588688F"/>
    <w:rsid w:val="6B481986"/>
    <w:rsid w:val="6E7A2239"/>
    <w:rsid w:val="797177C8"/>
    <w:rsid w:val="7DA4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before="60" w:after="60" w:line="560"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4"/>
    <w:link w:val="25"/>
    <w:autoRedefine/>
    <w:qFormat/>
    <w:uiPriority w:val="9"/>
    <w:pPr>
      <w:keepNext/>
      <w:keepLines/>
      <w:numPr>
        <w:ilvl w:val="0"/>
        <w:numId w:val="1"/>
      </w:numPr>
      <w:spacing w:before="0" w:after="0" w:line="600" w:lineRule="exact"/>
      <w:ind w:firstLineChars="0"/>
      <w:outlineLvl w:val="0"/>
    </w:pPr>
    <w:rPr>
      <w:rFonts w:ascii="仿宋_GB2312" w:eastAsia="黑体"/>
      <w:bCs/>
      <w:kern w:val="44"/>
      <w:szCs w:val="44"/>
    </w:rPr>
  </w:style>
  <w:style w:type="paragraph" w:styleId="5">
    <w:name w:val="heading 2"/>
    <w:basedOn w:val="1"/>
    <w:next w:val="4"/>
    <w:link w:val="22"/>
    <w:autoRedefine/>
    <w:qFormat/>
    <w:uiPriority w:val="9"/>
    <w:pPr>
      <w:numPr>
        <w:ilvl w:val="1"/>
        <w:numId w:val="1"/>
      </w:numPr>
      <w:spacing w:before="0" w:after="0" w:line="600" w:lineRule="exact"/>
      <w:ind w:firstLineChars="0"/>
      <w:outlineLvl w:val="1"/>
    </w:pPr>
    <w:rPr>
      <w:rFonts w:eastAsia="楷体_GB2312"/>
      <w:bCs/>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rPr>
      <w:rFonts w:ascii="仿宋_GB2312" w:hAnsi="仿宋_GB2312"/>
    </w:rPr>
  </w:style>
  <w:style w:type="paragraph" w:customStyle="1" w:styleId="4">
    <w:name w:val="正文2"/>
    <w:basedOn w:val="1"/>
    <w:autoRedefine/>
    <w:qFormat/>
    <w:uiPriority w:val="0"/>
    <w:pPr>
      <w:spacing w:before="0" w:after="0" w:line="600" w:lineRule="exact"/>
    </w:pPr>
    <w:rPr>
      <w:rFonts w:ascii="仿宋_GB2312" w:hAnsi="仿宋"/>
    </w:rPr>
  </w:style>
  <w:style w:type="paragraph" w:styleId="6">
    <w:name w:val="toc 7"/>
    <w:basedOn w:val="1"/>
    <w:next w:val="1"/>
    <w:autoRedefine/>
    <w:unhideWhenUsed/>
    <w:qFormat/>
    <w:uiPriority w:val="39"/>
    <w:pPr>
      <w:spacing w:before="0" w:after="0"/>
      <w:ind w:left="1920"/>
      <w:jc w:val="left"/>
    </w:pPr>
    <w:rPr>
      <w:rFonts w:asciiTheme="minorHAnsi" w:hAnsiTheme="minorHAnsi" w:cstheme="minorHAnsi"/>
      <w:sz w:val="18"/>
      <w:szCs w:val="18"/>
    </w:rPr>
  </w:style>
  <w:style w:type="paragraph" w:styleId="7">
    <w:name w:val="toc 5"/>
    <w:basedOn w:val="1"/>
    <w:next w:val="1"/>
    <w:autoRedefine/>
    <w:unhideWhenUsed/>
    <w:qFormat/>
    <w:uiPriority w:val="39"/>
    <w:pPr>
      <w:spacing w:before="0" w:after="0"/>
      <w:ind w:left="1280"/>
      <w:jc w:val="left"/>
    </w:pPr>
    <w:rPr>
      <w:rFonts w:asciiTheme="minorHAnsi" w:hAnsiTheme="minorHAnsi" w:cstheme="minorHAnsi"/>
      <w:sz w:val="18"/>
      <w:szCs w:val="18"/>
    </w:rPr>
  </w:style>
  <w:style w:type="paragraph" w:styleId="8">
    <w:name w:val="toc 3"/>
    <w:basedOn w:val="1"/>
    <w:next w:val="1"/>
    <w:autoRedefine/>
    <w:unhideWhenUsed/>
    <w:qFormat/>
    <w:uiPriority w:val="39"/>
    <w:pPr>
      <w:spacing w:before="0" w:after="0"/>
      <w:ind w:left="640"/>
      <w:jc w:val="left"/>
    </w:pPr>
    <w:rPr>
      <w:rFonts w:asciiTheme="minorHAnsi" w:hAnsiTheme="minorHAnsi" w:cstheme="minorHAnsi"/>
      <w:i/>
      <w:iCs/>
      <w:sz w:val="20"/>
      <w:szCs w:val="20"/>
    </w:rPr>
  </w:style>
  <w:style w:type="paragraph" w:styleId="9">
    <w:name w:val="toc 8"/>
    <w:basedOn w:val="1"/>
    <w:next w:val="1"/>
    <w:autoRedefine/>
    <w:unhideWhenUsed/>
    <w:qFormat/>
    <w:uiPriority w:val="39"/>
    <w:pPr>
      <w:spacing w:before="0" w:after="0"/>
      <w:ind w:left="2240"/>
      <w:jc w:val="left"/>
    </w:pPr>
    <w:rPr>
      <w:rFonts w:asciiTheme="minorHAnsi" w:hAnsiTheme="minorHAnsi" w:cstheme="minorHAnsi"/>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494"/>
      </w:tabs>
      <w:spacing w:before="120" w:after="120"/>
      <w:ind w:firstLine="0" w:firstLineChars="0"/>
      <w:jc w:val="left"/>
    </w:pPr>
    <w:rPr>
      <w:rFonts w:asciiTheme="minorHAnsi" w:hAnsiTheme="minorHAnsi" w:cstheme="minorHAnsi"/>
      <w:b/>
      <w:bCs/>
      <w:caps/>
      <w:sz w:val="20"/>
      <w:szCs w:val="20"/>
    </w:rPr>
  </w:style>
  <w:style w:type="paragraph" w:styleId="13">
    <w:name w:val="toc 4"/>
    <w:basedOn w:val="1"/>
    <w:next w:val="1"/>
    <w:autoRedefine/>
    <w:unhideWhenUsed/>
    <w:qFormat/>
    <w:uiPriority w:val="39"/>
    <w:pPr>
      <w:spacing w:before="0" w:after="0"/>
      <w:ind w:left="960"/>
      <w:jc w:val="left"/>
    </w:pPr>
    <w:rPr>
      <w:rFonts w:asciiTheme="minorHAnsi" w:hAnsiTheme="minorHAnsi" w:cstheme="minorHAnsi"/>
      <w:sz w:val="18"/>
      <w:szCs w:val="18"/>
    </w:rPr>
  </w:style>
  <w:style w:type="paragraph" w:styleId="14">
    <w:name w:val="toc 6"/>
    <w:basedOn w:val="1"/>
    <w:next w:val="1"/>
    <w:autoRedefine/>
    <w:unhideWhenUsed/>
    <w:qFormat/>
    <w:uiPriority w:val="39"/>
    <w:pPr>
      <w:spacing w:before="0" w:after="0"/>
      <w:ind w:left="1600"/>
      <w:jc w:val="left"/>
    </w:pPr>
    <w:rPr>
      <w:rFonts w:asciiTheme="minorHAnsi" w:hAnsiTheme="minorHAnsi" w:cstheme="minorHAnsi"/>
      <w:sz w:val="18"/>
      <w:szCs w:val="18"/>
    </w:rPr>
  </w:style>
  <w:style w:type="paragraph" w:styleId="15">
    <w:name w:val="toc 2"/>
    <w:basedOn w:val="1"/>
    <w:next w:val="1"/>
    <w:autoRedefine/>
    <w:unhideWhenUsed/>
    <w:qFormat/>
    <w:uiPriority w:val="39"/>
    <w:pPr>
      <w:spacing w:before="0" w:after="0"/>
      <w:ind w:left="320"/>
      <w:jc w:val="left"/>
    </w:pPr>
    <w:rPr>
      <w:rFonts w:asciiTheme="minorHAnsi" w:hAnsiTheme="minorHAnsi" w:cstheme="minorHAnsi"/>
      <w:smallCaps/>
      <w:sz w:val="20"/>
      <w:szCs w:val="20"/>
    </w:rPr>
  </w:style>
  <w:style w:type="paragraph" w:styleId="16">
    <w:name w:val="toc 9"/>
    <w:basedOn w:val="1"/>
    <w:next w:val="1"/>
    <w:autoRedefine/>
    <w:unhideWhenUsed/>
    <w:qFormat/>
    <w:uiPriority w:val="39"/>
    <w:pPr>
      <w:spacing w:before="0" w:after="0"/>
      <w:ind w:left="2560"/>
      <w:jc w:val="left"/>
    </w:pPr>
    <w:rPr>
      <w:rFonts w:asciiTheme="minorHAnsi" w:hAnsiTheme="minorHAnsi" w:cstheme="minorHAnsi"/>
      <w:sz w:val="18"/>
      <w:szCs w:val="18"/>
    </w:rPr>
  </w:style>
  <w:style w:type="paragraph" w:styleId="17">
    <w:name w:val="Title"/>
    <w:next w:val="1"/>
    <w:link w:val="26"/>
    <w:autoRedefine/>
    <w:qFormat/>
    <w:uiPriority w:val="10"/>
    <w:pPr>
      <w:widowControl w:val="0"/>
      <w:spacing w:before="240" w:after="240" w:line="600" w:lineRule="exact"/>
      <w:jc w:val="center"/>
      <w:outlineLvl w:val="0"/>
    </w:pPr>
    <w:rPr>
      <w:rFonts w:ascii="Times New Roman" w:hAnsi="Times New Roman" w:eastAsia="方正小标宋简体" w:cstheme="majorBidi"/>
      <w:b/>
      <w:bCs/>
      <w:kern w:val="2"/>
      <w:sz w:val="44"/>
      <w:szCs w:val="32"/>
      <w:lang w:val="en-US" w:eastAsia="zh-CN" w:bidi="ar-SA"/>
    </w:rPr>
  </w:style>
  <w:style w:type="character" w:styleId="20">
    <w:name w:val="Hyperlink"/>
    <w:basedOn w:val="19"/>
    <w:autoRedefine/>
    <w:unhideWhenUsed/>
    <w:qFormat/>
    <w:uiPriority w:val="99"/>
    <w:rPr>
      <w:color w:val="0000FF" w:themeColor="hyperlink"/>
      <w:u w:val="single"/>
      <w14:textFill>
        <w14:solidFill>
          <w14:schemeClr w14:val="hlink"/>
        </w14:solidFill>
      </w14:textFill>
    </w:rPr>
  </w:style>
  <w:style w:type="character" w:customStyle="1" w:styleId="21">
    <w:name w:val="标题 2 字符"/>
    <w:basedOn w:val="19"/>
    <w:autoRedefine/>
    <w:semiHidden/>
    <w:qFormat/>
    <w:uiPriority w:val="9"/>
    <w:rPr>
      <w:rFonts w:asciiTheme="majorHAnsi" w:hAnsiTheme="majorHAnsi" w:eastAsiaTheme="majorEastAsia" w:cstheme="majorBidi"/>
      <w:b/>
      <w:bCs/>
      <w:sz w:val="32"/>
      <w:szCs w:val="32"/>
    </w:rPr>
  </w:style>
  <w:style w:type="character" w:customStyle="1" w:styleId="22">
    <w:name w:val="标题 2 字符1"/>
    <w:link w:val="5"/>
    <w:autoRedefine/>
    <w:qFormat/>
    <w:uiPriority w:val="9"/>
    <w:rPr>
      <w:rFonts w:ascii="Times New Roman" w:hAnsi="Times New Roman" w:eastAsia="楷体_GB2312" w:cs="Times New Roman"/>
      <w:bCs/>
      <w:sz w:val="32"/>
      <w:szCs w:val="32"/>
    </w:rPr>
  </w:style>
  <w:style w:type="character" w:customStyle="1" w:styleId="23">
    <w:name w:val="页眉 字符"/>
    <w:basedOn w:val="19"/>
    <w:link w:val="11"/>
    <w:autoRedefine/>
    <w:qFormat/>
    <w:uiPriority w:val="99"/>
    <w:rPr>
      <w:rFonts w:ascii="仿宋_GB2312" w:hAnsi="Times New Roman" w:eastAsia="仿宋_GB2312" w:cs="Times New Roman"/>
      <w:sz w:val="18"/>
      <w:szCs w:val="18"/>
    </w:rPr>
  </w:style>
  <w:style w:type="character" w:customStyle="1" w:styleId="24">
    <w:name w:val="页脚 字符"/>
    <w:basedOn w:val="19"/>
    <w:link w:val="10"/>
    <w:autoRedefine/>
    <w:qFormat/>
    <w:uiPriority w:val="99"/>
    <w:rPr>
      <w:rFonts w:ascii="仿宋_GB2312" w:hAnsi="Times New Roman" w:eastAsia="仿宋_GB2312" w:cs="Times New Roman"/>
      <w:sz w:val="18"/>
      <w:szCs w:val="18"/>
    </w:rPr>
  </w:style>
  <w:style w:type="character" w:customStyle="1" w:styleId="25">
    <w:name w:val="标题 1 字符"/>
    <w:basedOn w:val="19"/>
    <w:link w:val="3"/>
    <w:autoRedefine/>
    <w:qFormat/>
    <w:uiPriority w:val="9"/>
    <w:rPr>
      <w:rFonts w:ascii="仿宋_GB2312" w:hAnsi="Times New Roman" w:eastAsia="黑体" w:cs="Times New Roman"/>
      <w:bCs/>
      <w:kern w:val="44"/>
      <w:sz w:val="32"/>
      <w:szCs w:val="44"/>
    </w:rPr>
  </w:style>
  <w:style w:type="character" w:customStyle="1" w:styleId="26">
    <w:name w:val="标题 字符"/>
    <w:basedOn w:val="19"/>
    <w:link w:val="17"/>
    <w:autoRedefine/>
    <w:qFormat/>
    <w:uiPriority w:val="10"/>
    <w:rPr>
      <w:rFonts w:ascii="Times New Roman" w:hAnsi="Times New Roman" w:eastAsia="方正小标宋简体" w:cstheme="majorBidi"/>
      <w:b/>
      <w:bCs/>
      <w:sz w:val="44"/>
      <w:szCs w:val="32"/>
    </w:rPr>
  </w:style>
  <w:style w:type="paragraph" w:customStyle="1" w:styleId="27">
    <w:name w:val="修订1"/>
    <w:autoRedefine/>
    <w:hidden/>
    <w:semiHidden/>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9BB8-4582-4E31-91D5-989A776708BC}">
  <ds:schemaRefs/>
</ds:datastoreItem>
</file>

<file path=docProps/app.xml><?xml version="1.0" encoding="utf-8"?>
<Properties xmlns="http://schemas.openxmlformats.org/officeDocument/2006/extended-properties" xmlns:vt="http://schemas.openxmlformats.org/officeDocument/2006/docPropsVTypes">
  <Template>Normal</Template>
  <Pages>27</Pages>
  <Words>8741</Words>
  <Characters>9398</Characters>
  <Lines>81</Lines>
  <Paragraphs>22</Paragraphs>
  <TotalTime>14</TotalTime>
  <ScaleCrop>false</ScaleCrop>
  <LinksUpToDate>false</LinksUpToDate>
  <CharactersWithSpaces>9598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2022-04-14T08:45:00Z</dcterms:created>
  <dc:creator>包 晗</dc:creator>
  <cp:lastModifiedBy>彭雷</cp:lastModifiedBy>
  <dcterms:modified xsi:type="dcterms:W3CDTF">2024-05-21T01:31:37Z</dcterms:modified>
  <cp:revision>459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9B897F2C66ED4A83BAB5DCF6A88D2E38_13</vt:lpwstr>
  </property>
</Properties>
</file>